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spacing w:line="490" w:lineRule="exact"/>
        <w:ind w:firstLine="3412" w:firstLineChars="944"/>
        <w:textAlignment w:val="auto"/>
        <w:rPr>
          <w:rFonts w:ascii="宋体" w:hAnsi="宋体" w:cs="宋体"/>
          <w:b/>
          <w:bCs/>
          <w:color w:val="auto"/>
          <w:kern w:val="0"/>
          <w:sz w:val="36"/>
          <w:szCs w:val="36"/>
        </w:rPr>
      </w:pPr>
      <w:r>
        <w:rPr>
          <w:rFonts w:hint="eastAsia" w:ascii="宋体" w:hAnsi="宋体" w:cs="宋体"/>
          <w:b/>
          <w:bCs/>
          <w:color w:val="auto"/>
          <w:kern w:val="0"/>
          <w:sz w:val="36"/>
          <w:szCs w:val="36"/>
        </w:rPr>
        <w:t>竞拍须知</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一、本须知依照《中华人民共和国拍卖法》及相关法律法规制定。本次拍卖活动遵循“公开、公平、公正、诚实守信”的原则，拍卖活动具备法律效力。合格竞买人拍卖前应认真仔细阅读本《竞买须知》，了解本须知的全部内容。参加本次拍卖活动的当事人和竞买人必须遵守本须知的各项条款，并对自己的行为承担法律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二、拍卖方式。本次拍卖活动通过中国拍卖行业协会网络拍卖平台（简称“中拍平台”，网址</w:t>
      </w:r>
      <w:r>
        <w:rPr>
          <w:rFonts w:ascii="仿宋" w:hAnsi="仿宋" w:eastAsia="仿宋" w:cs="Times New Roman"/>
          <w:color w:val="auto"/>
          <w:kern w:val="2"/>
          <w:sz w:val="28"/>
          <w:szCs w:val="28"/>
        </w:rPr>
        <w:t>https://paimai.caa123.org.cn</w:t>
      </w:r>
      <w:r>
        <w:rPr>
          <w:rFonts w:hint="eastAsia" w:ascii="仿宋" w:hAnsi="仿宋" w:eastAsia="仿宋" w:cs="Times New Roman"/>
          <w:color w:val="auto"/>
          <w:kern w:val="2"/>
          <w:sz w:val="28"/>
          <w:szCs w:val="28"/>
        </w:rPr>
        <w:t>）进行，届时正式拍卖开始时间以中拍平台电子拍卖系统时间为准。本次拍卖为无保留价的网络增价拍卖方式，拍卖结束时出价最高的拍卖人则竞买成功。本次拍卖活动设置延时功能，即拍卖过程分为自由拍卖阶段和限时拍卖阶段，具体的网络拍卖操作方式以及出价规则、延时规则等拍卖规程务必详细查阅中拍平台帮助中心（网址：</w:t>
      </w:r>
      <w:r>
        <w:rPr>
          <w:rFonts w:ascii="仿宋" w:hAnsi="仿宋" w:eastAsia="仿宋" w:cs="Times New Roman"/>
          <w:color w:val="auto"/>
          <w:kern w:val="2"/>
          <w:sz w:val="28"/>
          <w:szCs w:val="28"/>
        </w:rPr>
        <w:t>https://paimai.caa123.org.cn/pages/help/helpcenter_index.html</w:t>
      </w:r>
      <w:r>
        <w:rPr>
          <w:rFonts w:hint="eastAsia" w:ascii="仿宋" w:hAnsi="仿宋" w:eastAsia="仿宋" w:cs="Times New Roman"/>
          <w:color w:val="auto"/>
          <w:kern w:val="2"/>
          <w:sz w:val="28"/>
          <w:szCs w:val="28"/>
        </w:rPr>
        <w:t>）。拍卖人声明不提供统一的拍卖场所和拍卖工具。</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三、竞买人应于公告规定的报名截止时间前在中拍平台进行实名登记注册，并报名申请参加拍卖，竞买人务必于网络拍卖报名截止时间前报名参拍。通过拍卖人的审核确认且注册账户被激活的竞买人，均可登录中拍平台拍卖大厅参与本次网络拍卖活动。竞买人因填写个人信息不真实、不准确或不完整而造成注册账户无法激活的后果由竞买人自行承担；冒充他人或以他人信息注册的，一经查实即取消其竞买资格并由其承担相应的法律责任。</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四、拍卖账号为竞买人参与拍卖的唯一凭证，竞买人需妥善、谨慎保管，竞买人应对其参与拍卖的注册账户的安全性负责，凡使用竞买人的账号和密码登录后进行的任何操作，均视为该竞买人的行为，竞买人应当对其账号进行的所有行为承担全部法律责任。因黑客攻击行为或者竞买人过失导致账号、密码遭他人非法盗用，拍卖人、中拍平台不承担任何责任。竞买人通过自备终端参与拍卖活动，应尽量采用高宽带、高性能、安全的网络环境。竞买人通过公共环境参与拍卖活动，应该注意账号安全，离开终端时应及时退出拍卖系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2" w:firstLineChars="200"/>
        <w:textAlignment w:val="auto"/>
        <w:rPr>
          <w:rFonts w:ascii="仿宋" w:hAnsi="仿宋" w:eastAsia="仿宋" w:cs="Times New Roman"/>
          <w:b/>
          <w:color w:val="auto"/>
          <w:kern w:val="2"/>
          <w:sz w:val="28"/>
          <w:szCs w:val="28"/>
        </w:rPr>
      </w:pPr>
      <w:r>
        <w:rPr>
          <w:rFonts w:hint="eastAsia" w:ascii="仿宋" w:hAnsi="仿宋" w:eastAsia="仿宋" w:cs="Times New Roman"/>
          <w:b/>
          <w:color w:val="auto"/>
          <w:kern w:val="2"/>
          <w:sz w:val="28"/>
          <w:szCs w:val="28"/>
        </w:rPr>
        <w:t>五、本次拍卖需至少两名竞买人，如不足的，则取消该标的拍卖，由此对竞买人造成的损失由其自负。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b/>
          <w:color w:val="auto"/>
          <w:kern w:val="2"/>
          <w:sz w:val="28"/>
          <w:szCs w:val="28"/>
        </w:rPr>
      </w:pPr>
      <w:r>
        <w:rPr>
          <w:rFonts w:hint="eastAsia" w:ascii="仿宋" w:hAnsi="仿宋" w:eastAsia="仿宋" w:cs="Times New Roman"/>
          <w:color w:val="auto"/>
          <w:kern w:val="2"/>
          <w:sz w:val="28"/>
          <w:szCs w:val="28"/>
        </w:rPr>
        <w:t>六、本次拍卖活动设置延时出价功能，在拍卖活动结束前，每最后</w:t>
      </w:r>
      <w:r>
        <w:rPr>
          <w:rFonts w:ascii="仿宋" w:hAnsi="仿宋" w:eastAsia="仿宋" w:cs="Times New Roman"/>
          <w:color w:val="auto"/>
          <w:kern w:val="2"/>
          <w:sz w:val="28"/>
          <w:szCs w:val="28"/>
        </w:rPr>
        <w:t>5</w:t>
      </w:r>
      <w:r>
        <w:rPr>
          <w:rFonts w:hint="eastAsia" w:ascii="仿宋" w:hAnsi="仿宋" w:eastAsia="仿宋" w:cs="Times New Roman"/>
          <w:color w:val="auto"/>
          <w:kern w:val="2"/>
          <w:sz w:val="28"/>
          <w:szCs w:val="28"/>
        </w:rPr>
        <w:t>分钟如果有竞买人出价，就自动延迟</w:t>
      </w:r>
      <w:r>
        <w:rPr>
          <w:rFonts w:ascii="仿宋" w:hAnsi="仿宋" w:eastAsia="仿宋" w:cs="Times New Roman"/>
          <w:color w:val="auto"/>
          <w:kern w:val="2"/>
          <w:sz w:val="28"/>
          <w:szCs w:val="28"/>
        </w:rPr>
        <w:t>5</w:t>
      </w:r>
      <w:r>
        <w:rPr>
          <w:rFonts w:hint="eastAsia" w:ascii="仿宋" w:hAnsi="仿宋" w:eastAsia="仿宋" w:cs="Times New Roman"/>
          <w:color w:val="auto"/>
          <w:kern w:val="2"/>
          <w:sz w:val="28"/>
          <w:szCs w:val="28"/>
        </w:rPr>
        <w:t>分钟。本次拍卖一旦有人应价，就可以成交。</w:t>
      </w:r>
    </w:p>
    <w:p>
      <w:pPr>
        <w:pStyle w:val="2"/>
        <w:keepNext w:val="0"/>
        <w:keepLines w:val="0"/>
        <w:pageBreakBefore w:val="0"/>
        <w:kinsoku/>
        <w:wordWrap/>
        <w:overflowPunct/>
        <w:topLinePunct w:val="0"/>
        <w:autoSpaceDE/>
        <w:autoSpaceDN/>
        <w:bidi w:val="0"/>
        <w:adjustRightInd w:val="0"/>
        <w:spacing w:line="520" w:lineRule="exact"/>
        <w:ind w:firstLine="562"/>
        <w:textAlignment w:val="auto"/>
        <w:rPr>
          <w:rFonts w:ascii="仿宋" w:hAnsi="仿宋" w:eastAsia="仿宋"/>
          <w:b/>
          <w:color w:val="auto"/>
          <w:kern w:val="2"/>
          <w:sz w:val="28"/>
          <w:szCs w:val="28"/>
        </w:rPr>
      </w:pPr>
      <w:r>
        <w:rPr>
          <w:rFonts w:hint="eastAsia" w:ascii="仿宋" w:hAnsi="仿宋" w:eastAsia="仿宋" w:cs="Times New Roman"/>
          <w:color w:val="auto"/>
          <w:kern w:val="2"/>
          <w:sz w:val="28"/>
          <w:szCs w:val="28"/>
          <w:lang w:val="en-US" w:eastAsia="zh-CN" w:bidi="ar-SA"/>
        </w:rPr>
        <w:t>七</w:t>
      </w:r>
      <w:r>
        <w:rPr>
          <w:rFonts w:hint="eastAsia" w:ascii="仿宋" w:hAnsi="仿宋" w:eastAsia="仿宋"/>
          <w:b/>
          <w:color w:val="auto"/>
          <w:kern w:val="2"/>
          <w:sz w:val="28"/>
          <w:szCs w:val="28"/>
        </w:rPr>
        <w:t>、</w:t>
      </w:r>
      <w:r>
        <w:rPr>
          <w:rFonts w:hint="eastAsia" w:ascii="仿宋" w:hAnsi="仿宋" w:eastAsia="仿宋"/>
          <w:color w:val="auto"/>
          <w:sz w:val="28"/>
          <w:szCs w:val="28"/>
        </w:rPr>
        <w:t>参加竞买的人员应当遵守网络拍卖的规定，有下列扰乱交易秩序之一的，取消其竞买资格，竞买保证金不予返还，还将追究其相关经济和法律责任：</w:t>
      </w:r>
    </w:p>
    <w:p>
      <w:pPr>
        <w:pStyle w:val="2"/>
        <w:keepNext w:val="0"/>
        <w:keepLines w:val="0"/>
        <w:pageBreakBefore w:val="0"/>
        <w:kinsoku/>
        <w:wordWrap/>
        <w:overflowPunct/>
        <w:topLinePunct w:val="0"/>
        <w:autoSpaceDE/>
        <w:autoSpaceDN/>
        <w:bidi w:val="0"/>
        <w:adjustRightInd w:val="0"/>
        <w:spacing w:line="520" w:lineRule="exact"/>
        <w:ind w:firstLine="560"/>
        <w:textAlignment w:val="auto"/>
        <w:rPr>
          <w:rFonts w:ascii="仿宋" w:hAnsi="仿宋" w:eastAsia="仿宋"/>
          <w:color w:val="auto"/>
          <w:sz w:val="28"/>
          <w:szCs w:val="28"/>
        </w:rPr>
      </w:pPr>
      <w:r>
        <w:rPr>
          <w:rFonts w:hint="eastAsia" w:ascii="仿宋" w:hAnsi="仿宋" w:eastAsia="仿宋"/>
          <w:color w:val="auto"/>
          <w:sz w:val="28"/>
          <w:szCs w:val="28"/>
        </w:rPr>
        <w:t>1、提供伪造或虚假材料骗取竞买资格的；</w:t>
      </w:r>
    </w:p>
    <w:p>
      <w:pPr>
        <w:pStyle w:val="2"/>
        <w:keepNext w:val="0"/>
        <w:keepLines w:val="0"/>
        <w:pageBreakBefore w:val="0"/>
        <w:kinsoku/>
        <w:wordWrap/>
        <w:overflowPunct/>
        <w:topLinePunct w:val="0"/>
        <w:autoSpaceDE/>
        <w:autoSpaceDN/>
        <w:bidi w:val="0"/>
        <w:adjustRightInd w:val="0"/>
        <w:spacing w:line="520" w:lineRule="exact"/>
        <w:ind w:firstLine="560"/>
        <w:textAlignment w:val="auto"/>
        <w:rPr>
          <w:rFonts w:ascii="仿宋" w:hAnsi="仿宋" w:eastAsia="仿宋"/>
          <w:color w:val="auto"/>
          <w:sz w:val="28"/>
          <w:szCs w:val="28"/>
        </w:rPr>
      </w:pPr>
      <w:r>
        <w:rPr>
          <w:rFonts w:hint="eastAsia" w:ascii="仿宋" w:hAnsi="仿宋" w:eastAsia="仿宋"/>
          <w:color w:val="auto"/>
          <w:sz w:val="28"/>
          <w:szCs w:val="28"/>
        </w:rPr>
        <w:t>2、相互串通或采取诋毁、排挤、欺骗、威胁等不正当或非法阻碍他人竞买的；</w:t>
      </w:r>
    </w:p>
    <w:p>
      <w:pPr>
        <w:pStyle w:val="2"/>
        <w:keepNext w:val="0"/>
        <w:keepLines w:val="0"/>
        <w:pageBreakBefore w:val="0"/>
        <w:kinsoku/>
        <w:wordWrap/>
        <w:overflowPunct/>
        <w:topLinePunct w:val="0"/>
        <w:autoSpaceDE/>
        <w:autoSpaceDN/>
        <w:bidi w:val="0"/>
        <w:adjustRightInd w:val="0"/>
        <w:spacing w:line="520" w:lineRule="exact"/>
        <w:ind w:firstLine="560"/>
        <w:textAlignment w:val="auto"/>
        <w:rPr>
          <w:rFonts w:ascii="仿宋" w:hAnsi="仿宋" w:eastAsia="仿宋"/>
          <w:color w:val="auto"/>
          <w:sz w:val="28"/>
          <w:szCs w:val="28"/>
        </w:rPr>
      </w:pPr>
      <w:r>
        <w:rPr>
          <w:rFonts w:hint="eastAsia" w:ascii="仿宋" w:hAnsi="仿宋" w:eastAsia="仿宋"/>
          <w:color w:val="auto"/>
          <w:sz w:val="28"/>
          <w:szCs w:val="28"/>
        </w:rPr>
        <w:t>3、向相关利益当事人行贿或者提供其他不正当利益的；</w:t>
      </w:r>
    </w:p>
    <w:p>
      <w:pPr>
        <w:pStyle w:val="2"/>
        <w:keepNext w:val="0"/>
        <w:keepLines w:val="0"/>
        <w:pageBreakBefore w:val="0"/>
        <w:kinsoku/>
        <w:wordWrap/>
        <w:overflowPunct/>
        <w:topLinePunct w:val="0"/>
        <w:autoSpaceDE/>
        <w:autoSpaceDN/>
        <w:bidi w:val="0"/>
        <w:adjustRightInd w:val="0"/>
        <w:spacing w:line="520" w:lineRule="exact"/>
        <w:ind w:firstLine="560"/>
        <w:textAlignment w:val="auto"/>
        <w:rPr>
          <w:rFonts w:ascii="仿宋" w:hAnsi="仿宋" w:eastAsia="仿宋"/>
          <w:color w:val="auto"/>
          <w:sz w:val="28"/>
          <w:szCs w:val="28"/>
        </w:rPr>
      </w:pPr>
      <w:r>
        <w:rPr>
          <w:rFonts w:hint="eastAsia" w:ascii="仿宋" w:hAnsi="仿宋" w:eastAsia="仿宋"/>
          <w:color w:val="auto"/>
          <w:sz w:val="28"/>
          <w:szCs w:val="28"/>
        </w:rPr>
        <w:t>4、在拍卖活动中有其他违反法律、法规行为的。</w:t>
      </w:r>
    </w:p>
    <w:p>
      <w:pPr>
        <w:keepNext w:val="0"/>
        <w:keepLines w:val="0"/>
        <w:pageBreakBefore w:val="0"/>
        <w:kinsoku/>
        <w:wordWrap/>
        <w:overflowPunct/>
        <w:topLinePunct w:val="0"/>
        <w:autoSpaceDE/>
        <w:autoSpaceDN/>
        <w:bidi w:val="0"/>
        <w:spacing w:line="52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lang w:val="en-US" w:eastAsia="zh-CN"/>
        </w:rPr>
        <w:t>八</w:t>
      </w:r>
      <w:r>
        <w:rPr>
          <w:rFonts w:hint="eastAsia" w:ascii="仿宋" w:hAnsi="仿宋" w:eastAsia="仿宋"/>
          <w:color w:val="auto"/>
          <w:sz w:val="28"/>
          <w:szCs w:val="28"/>
        </w:rPr>
        <w:t>、拍卖成交后，买受人应在</w:t>
      </w:r>
      <w:r>
        <w:rPr>
          <w:rFonts w:ascii="仿宋" w:hAnsi="仿宋" w:eastAsia="仿宋"/>
          <w:color w:val="auto"/>
          <w:sz w:val="28"/>
          <w:szCs w:val="28"/>
        </w:rPr>
        <w:t>202</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年</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21</w:t>
      </w:r>
      <w:r>
        <w:rPr>
          <w:rFonts w:hint="eastAsia" w:ascii="仿宋" w:hAnsi="仿宋" w:eastAsia="仿宋"/>
          <w:color w:val="auto"/>
          <w:sz w:val="28"/>
          <w:szCs w:val="28"/>
        </w:rPr>
        <w:t>日17时前（携带相关身份材料原件）到浙江天平拍卖有限公司新昌分公司（地址：新昌县十九峰路</w:t>
      </w:r>
      <w:r>
        <w:rPr>
          <w:rFonts w:ascii="仿宋" w:hAnsi="仿宋" w:eastAsia="仿宋"/>
          <w:color w:val="auto"/>
          <w:sz w:val="28"/>
          <w:szCs w:val="28"/>
        </w:rPr>
        <w:t>99</w:t>
      </w:r>
      <w:r>
        <w:rPr>
          <w:rFonts w:hint="eastAsia" w:ascii="仿宋" w:hAnsi="仿宋" w:eastAsia="仿宋"/>
          <w:color w:val="auto"/>
          <w:sz w:val="28"/>
          <w:szCs w:val="28"/>
        </w:rPr>
        <w:t>号海关大楼</w:t>
      </w:r>
      <w:r>
        <w:rPr>
          <w:rFonts w:ascii="仿宋" w:hAnsi="仿宋" w:eastAsia="仿宋"/>
          <w:color w:val="auto"/>
          <w:sz w:val="28"/>
          <w:szCs w:val="28"/>
        </w:rPr>
        <w:t>201</w:t>
      </w:r>
      <w:r>
        <w:rPr>
          <w:rFonts w:hint="eastAsia" w:ascii="仿宋" w:hAnsi="仿宋" w:eastAsia="仿宋"/>
          <w:color w:val="auto"/>
          <w:sz w:val="28"/>
          <w:szCs w:val="28"/>
        </w:rPr>
        <w:t>）签署相关拍卖资料。本次拍卖佣金按拍卖成交总价（标的租赁期全部租金总和）的</w:t>
      </w:r>
      <w:r>
        <w:rPr>
          <w:rFonts w:ascii="仿宋" w:hAnsi="仿宋" w:eastAsia="仿宋"/>
          <w:color w:val="auto"/>
          <w:sz w:val="28"/>
          <w:szCs w:val="28"/>
        </w:rPr>
        <w:t>1.2%</w:t>
      </w:r>
      <w:r>
        <w:rPr>
          <w:rFonts w:hint="eastAsia" w:ascii="仿宋" w:hAnsi="仿宋" w:eastAsia="仿宋"/>
          <w:color w:val="auto"/>
          <w:sz w:val="28"/>
          <w:szCs w:val="28"/>
        </w:rPr>
        <w:t>计算，买受人应将</w:t>
      </w:r>
      <w:r>
        <w:rPr>
          <w:rFonts w:hint="eastAsia" w:ascii="仿宋" w:hAnsi="仿宋" w:eastAsia="仿宋"/>
          <w:color w:val="auto"/>
          <w:sz w:val="28"/>
          <w:szCs w:val="28"/>
          <w:u w:val="single"/>
        </w:rPr>
        <w:t>于</w:t>
      </w:r>
      <w:r>
        <w:rPr>
          <w:rFonts w:ascii="仿宋" w:hAnsi="仿宋" w:eastAsia="仿宋"/>
          <w:color w:val="auto"/>
          <w:sz w:val="28"/>
          <w:szCs w:val="28"/>
          <w:u w:val="single"/>
        </w:rPr>
        <w:t>202</w:t>
      </w:r>
      <w:r>
        <w:rPr>
          <w:rFonts w:hint="eastAsia" w:ascii="仿宋" w:hAnsi="仿宋" w:eastAsia="仿宋"/>
          <w:color w:val="auto"/>
          <w:sz w:val="28"/>
          <w:szCs w:val="28"/>
          <w:u w:val="single"/>
          <w:lang w:val="en-US" w:eastAsia="zh-CN"/>
        </w:rPr>
        <w:t>3</w:t>
      </w:r>
      <w:r>
        <w:rPr>
          <w:rFonts w:hint="eastAsia" w:ascii="仿宋" w:hAnsi="仿宋" w:eastAsia="仿宋"/>
          <w:color w:val="auto"/>
          <w:sz w:val="28"/>
          <w:szCs w:val="28"/>
          <w:u w:val="single"/>
        </w:rPr>
        <w:t>年</w:t>
      </w:r>
      <w:r>
        <w:rPr>
          <w:rFonts w:hint="eastAsia" w:ascii="仿宋" w:hAnsi="仿宋" w:eastAsia="仿宋"/>
          <w:color w:val="auto"/>
          <w:sz w:val="28"/>
          <w:szCs w:val="28"/>
          <w:u w:val="single"/>
          <w:lang w:val="en-US" w:eastAsia="zh-CN"/>
        </w:rPr>
        <w:t>3</w:t>
      </w:r>
      <w:r>
        <w:rPr>
          <w:rFonts w:hint="eastAsia" w:ascii="仿宋" w:hAnsi="仿宋" w:eastAsia="仿宋"/>
          <w:color w:val="auto"/>
          <w:sz w:val="28"/>
          <w:szCs w:val="28"/>
          <w:u w:val="single"/>
        </w:rPr>
        <w:t>月</w:t>
      </w:r>
      <w:r>
        <w:rPr>
          <w:rFonts w:hint="eastAsia" w:ascii="仿宋" w:hAnsi="仿宋" w:eastAsia="仿宋"/>
          <w:color w:val="auto"/>
          <w:sz w:val="28"/>
          <w:szCs w:val="28"/>
          <w:u w:val="single"/>
          <w:lang w:val="en-US" w:eastAsia="zh-CN"/>
        </w:rPr>
        <w:t>24</w:t>
      </w:r>
      <w:r>
        <w:rPr>
          <w:rFonts w:hint="eastAsia" w:ascii="仿宋" w:hAnsi="仿宋" w:eastAsia="仿宋"/>
          <w:color w:val="auto"/>
          <w:sz w:val="28"/>
          <w:szCs w:val="28"/>
          <w:u w:val="single"/>
        </w:rPr>
        <w:t>日17时前一次性付清成交款【成交款</w:t>
      </w:r>
      <w:r>
        <w:rPr>
          <w:rFonts w:ascii="仿宋" w:hAnsi="仿宋" w:eastAsia="仿宋"/>
          <w:color w:val="auto"/>
          <w:sz w:val="28"/>
          <w:szCs w:val="28"/>
          <w:u w:val="single"/>
        </w:rPr>
        <w:t>=</w:t>
      </w:r>
      <w:r>
        <w:rPr>
          <w:rFonts w:hint="eastAsia" w:ascii="仿宋" w:hAnsi="仿宋" w:eastAsia="仿宋"/>
          <w:color w:val="auto"/>
          <w:sz w:val="28"/>
          <w:szCs w:val="28"/>
          <w:u w:val="single"/>
        </w:rPr>
        <w:t>成交价（标的第一年租金</w:t>
      </w:r>
      <w:r>
        <w:rPr>
          <w:rFonts w:hint="eastAsia" w:ascii="仿宋" w:hAnsi="仿宋" w:eastAsia="仿宋"/>
          <w:color w:val="auto"/>
          <w:sz w:val="28"/>
          <w:szCs w:val="28"/>
          <w:u w:val="single"/>
          <w:lang w:eastAsia="zh-CN"/>
        </w:rPr>
        <w:t>、</w:t>
      </w:r>
      <w:r>
        <w:rPr>
          <w:rFonts w:hint="eastAsia" w:ascii="仿宋" w:hAnsi="仿宋" w:eastAsia="仿宋"/>
          <w:color w:val="auto"/>
          <w:sz w:val="28"/>
          <w:szCs w:val="28"/>
          <w:u w:val="single"/>
          <w:lang w:val="en-US" w:eastAsia="zh-CN"/>
        </w:rPr>
        <w:t>履约保证金</w:t>
      </w:r>
      <w:r>
        <w:rPr>
          <w:rFonts w:hint="eastAsia" w:ascii="仿宋" w:hAnsi="仿宋" w:eastAsia="仿宋"/>
          <w:color w:val="auto"/>
          <w:sz w:val="28"/>
          <w:szCs w:val="28"/>
          <w:u w:val="single"/>
        </w:rPr>
        <w:t>）+拍卖佣金】。</w:t>
      </w:r>
      <w:r>
        <w:rPr>
          <w:rFonts w:hint="eastAsia" w:ascii="仿宋" w:hAnsi="仿宋" w:eastAsia="仿宋"/>
          <w:color w:val="auto"/>
          <w:sz w:val="28"/>
          <w:szCs w:val="28"/>
        </w:rPr>
        <w:t>以上款项汇入（账户名：浙江天平拍卖有限公司新昌分公司</w:t>
      </w:r>
      <w:r>
        <w:rPr>
          <w:rFonts w:hint="eastAsia" w:ascii="宋体" w:hAnsi="宋体" w:eastAsia="仿宋" w:cs="宋体"/>
          <w:color w:val="auto"/>
          <w:sz w:val="28"/>
          <w:szCs w:val="28"/>
        </w:rPr>
        <w:t> </w:t>
      </w:r>
      <w:r>
        <w:rPr>
          <w:rFonts w:hint="eastAsia" w:ascii="仿宋" w:hAnsi="仿宋" w:eastAsia="仿宋"/>
          <w:color w:val="auto"/>
          <w:sz w:val="28"/>
          <w:szCs w:val="28"/>
        </w:rPr>
        <w:t>开户行：中国银行新昌支行  账 号：</w:t>
      </w:r>
      <w:r>
        <w:rPr>
          <w:rFonts w:ascii="仿宋" w:hAnsi="仿宋" w:eastAsia="仿宋"/>
          <w:color w:val="auto"/>
          <w:sz w:val="28"/>
          <w:szCs w:val="28"/>
        </w:rPr>
        <w:t>350658339514</w:t>
      </w:r>
      <w:r>
        <w:rPr>
          <w:rFonts w:hint="eastAsia" w:ascii="仿宋" w:hAnsi="仿宋" w:eastAsia="仿宋"/>
          <w:color w:val="auto"/>
          <w:sz w:val="28"/>
          <w:szCs w:val="28"/>
        </w:rPr>
        <w:t>）。</w:t>
      </w:r>
      <w:r>
        <w:rPr>
          <w:rFonts w:hint="eastAsia" w:ascii="仿宋" w:hAnsi="仿宋" w:eastAsia="仿宋"/>
          <w:b/>
          <w:color w:val="auto"/>
          <w:sz w:val="28"/>
          <w:szCs w:val="28"/>
        </w:rPr>
        <w:t>买受人还另需支付中拍平台的软件使用费（系统成交价的0.15%），单个标的软件使用费上限10万元</w:t>
      </w:r>
      <w:r>
        <w:rPr>
          <w:rFonts w:hint="eastAsia" w:ascii="仿宋" w:hAnsi="仿宋" w:eastAsia="仿宋"/>
          <w:b/>
          <w:color w:val="auto"/>
          <w:sz w:val="28"/>
          <w:szCs w:val="28"/>
          <w:lang w:eastAsia="zh-CN"/>
        </w:rPr>
        <w:t>，</w:t>
      </w:r>
      <w:r>
        <w:rPr>
          <w:rFonts w:hint="eastAsia" w:ascii="仿宋" w:hAnsi="仿宋" w:eastAsia="仿宋"/>
          <w:b/>
          <w:color w:val="auto"/>
          <w:sz w:val="28"/>
          <w:szCs w:val="28"/>
        </w:rPr>
        <w:t>在拍卖成交之日起7日内由买受人自行向中拍平台支付，具体收费以中拍平台发送的订单为准。</w:t>
      </w:r>
    </w:p>
    <w:p>
      <w:pPr>
        <w:keepNext w:val="0"/>
        <w:keepLines w:val="0"/>
        <w:pageBreakBefore w:val="0"/>
        <w:kinsoku/>
        <w:wordWrap/>
        <w:overflowPunct/>
        <w:topLinePunct w:val="0"/>
        <w:autoSpaceDE/>
        <w:autoSpaceDN/>
        <w:bidi w:val="0"/>
        <w:spacing w:line="52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lang w:val="en-US" w:eastAsia="zh-CN"/>
        </w:rPr>
        <w:t>九</w:t>
      </w:r>
      <w:r>
        <w:rPr>
          <w:rFonts w:hint="eastAsia" w:ascii="仿宋" w:hAnsi="仿宋" w:eastAsia="仿宋"/>
          <w:color w:val="auto"/>
          <w:sz w:val="28"/>
          <w:szCs w:val="28"/>
        </w:rPr>
        <w:t>、拍卖成功后，买受人未按期支付成交款</w:t>
      </w:r>
      <w:r>
        <w:rPr>
          <w:rFonts w:hint="eastAsia" w:ascii="仿宋" w:hAnsi="仿宋" w:eastAsia="仿宋" w:cs="仿宋"/>
          <w:color w:val="auto"/>
          <w:sz w:val="28"/>
          <w:szCs w:val="28"/>
        </w:rPr>
        <w:t>及履约保证金</w:t>
      </w:r>
      <w:r>
        <w:rPr>
          <w:rFonts w:hint="eastAsia" w:ascii="仿宋" w:hAnsi="仿宋" w:eastAsia="仿宋"/>
          <w:color w:val="auto"/>
          <w:sz w:val="28"/>
          <w:szCs w:val="28"/>
        </w:rPr>
        <w:t>的，或不按约定线下签署拍卖成交确认书及相关拍卖资料的，视为买受人违约，交纳的竞买保证金不予退还；拍卖人征得委托人的同意，可以重新拍卖，重新拍卖的成交价低于原拍卖成交价造成的差价、费用损失、原拍卖中的委托人及买受人应支付的拍卖佣金，均由原买受人承担。标的再次拍卖的，原买受人不得参与。</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十、委托人在收到全部成交款后负责与买受人办理标的物移交手续。若因买受人原因逾期不办理的，买受人应支付由此产生的费用，并承担本标的物可能发生的损毁、灭失等后果。</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w:t>
      </w:r>
      <w:r>
        <w:rPr>
          <w:rFonts w:hint="eastAsia" w:ascii="仿宋" w:hAnsi="仿宋" w:eastAsia="仿宋" w:cs="Times New Roman"/>
          <w:color w:val="auto"/>
          <w:kern w:val="2"/>
          <w:sz w:val="28"/>
          <w:szCs w:val="28"/>
          <w:lang w:val="en-US" w:eastAsia="zh-CN"/>
        </w:rPr>
        <w:t>一</w:t>
      </w:r>
      <w:r>
        <w:rPr>
          <w:rFonts w:hint="eastAsia" w:ascii="仿宋" w:hAnsi="仿宋" w:eastAsia="仿宋" w:cs="Times New Roman"/>
          <w:color w:val="auto"/>
          <w:kern w:val="2"/>
          <w:sz w:val="28"/>
          <w:szCs w:val="28"/>
        </w:rPr>
        <w:t>、本次拍卖活动计价货币为人民币，拍卖时的起拍价、成交价均不含买受人在拍卖标的所发生的全部费用、税费和拍卖佣金。</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w:t>
      </w:r>
      <w:r>
        <w:rPr>
          <w:rFonts w:hint="eastAsia" w:ascii="仿宋" w:hAnsi="仿宋" w:eastAsia="仿宋" w:cs="Times New Roman"/>
          <w:color w:val="auto"/>
          <w:kern w:val="2"/>
          <w:sz w:val="28"/>
          <w:szCs w:val="28"/>
          <w:lang w:val="en-US" w:eastAsia="zh-CN"/>
        </w:rPr>
        <w:t>二</w:t>
      </w:r>
      <w:r>
        <w:rPr>
          <w:rFonts w:hint="eastAsia" w:ascii="仿宋" w:hAnsi="仿宋" w:eastAsia="仿宋" w:cs="Times New Roman"/>
          <w:color w:val="auto"/>
          <w:kern w:val="2"/>
          <w:sz w:val="28"/>
          <w:szCs w:val="28"/>
        </w:rPr>
        <w:t>、在拍卖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w:t>
      </w:r>
      <w:r>
        <w:rPr>
          <w:rFonts w:hint="eastAsia" w:ascii="仿宋" w:hAnsi="仿宋" w:eastAsia="仿宋" w:cs="Times New Roman"/>
          <w:color w:val="auto"/>
          <w:kern w:val="2"/>
          <w:sz w:val="28"/>
          <w:szCs w:val="28"/>
          <w:lang w:val="en-US" w:eastAsia="zh-CN"/>
        </w:rPr>
        <w:t>三</w:t>
      </w:r>
      <w:r>
        <w:rPr>
          <w:rFonts w:hint="eastAsia" w:ascii="仿宋" w:hAnsi="仿宋" w:eastAsia="仿宋" w:cs="Times New Roman"/>
          <w:color w:val="auto"/>
          <w:kern w:val="2"/>
          <w:sz w:val="28"/>
          <w:szCs w:val="28"/>
        </w:rPr>
        <w:t>、本次拍卖是经法定公告期和展示期后才举行的，标的以现状进行拍卖。拍卖标的客观存在的任何缺陷、瑕疵，本公司不作担保责任。拍卖人对拍卖标的所作的任何口头介绍、文字说明和提供的图片等资料，仅供竞买人参考，不构成对标的任何担保。所以，请竞买人在拍卖前必须仔细审查拍卖标的，一旦作出竞买决定，即视同已完全了解，并接受标的的现状和一切已知及未知的瑕疵，并愿对自己的竞买行为承担法律责任，不得以未咨询或对标的不了解而提出异议或反悔。</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w:t>
      </w:r>
      <w:r>
        <w:rPr>
          <w:rFonts w:hint="eastAsia" w:ascii="仿宋" w:hAnsi="仿宋" w:eastAsia="仿宋" w:cs="Times New Roman"/>
          <w:color w:val="auto"/>
          <w:kern w:val="2"/>
          <w:sz w:val="28"/>
          <w:szCs w:val="28"/>
          <w:lang w:val="en-US" w:eastAsia="zh-CN"/>
        </w:rPr>
        <w:t>四</w:t>
      </w:r>
      <w:r>
        <w:rPr>
          <w:rFonts w:hint="eastAsia" w:ascii="仿宋" w:hAnsi="仿宋" w:eastAsia="仿宋" w:cs="Times New Roman"/>
          <w:color w:val="auto"/>
          <w:kern w:val="2"/>
          <w:sz w:val="28"/>
          <w:szCs w:val="28"/>
        </w:rPr>
        <w:t>、本次拍卖过程中可能会出现意外或不可抗力造成的拍卖中断等问题。由于互联网可能出现的不稳定情况，不排除在线竞拍出现无法正常进行的各种情况（包括但不限于时间不同步、网络故障、电路故障、系统故障、被恶意攻击等）而造成无法出价、页面无刷新、竞拍暂停等意外或不可抗力情况，竞买人必须充分估计上述原因导致在线竞拍不同于现场拍卖所带来的风险。竞买人一旦参与竞拍即代表已认知及认同有关网络风险，当出现此情况时若给各合格竞买人造成经济损失，拍卖人对各合格竞买人均不承担任何法律责任和赔偿义务。</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w:t>
      </w:r>
      <w:r>
        <w:rPr>
          <w:rFonts w:hint="eastAsia" w:ascii="仿宋" w:hAnsi="仿宋" w:eastAsia="仿宋" w:cs="Times New Roman"/>
          <w:color w:val="auto"/>
          <w:kern w:val="2"/>
          <w:sz w:val="28"/>
          <w:szCs w:val="28"/>
          <w:lang w:val="en-US" w:eastAsia="zh-CN"/>
        </w:rPr>
        <w:t>五</w:t>
      </w:r>
      <w:r>
        <w:rPr>
          <w:rFonts w:hint="eastAsia" w:ascii="仿宋" w:hAnsi="仿宋" w:eastAsia="仿宋" w:cs="Times New Roman"/>
          <w:color w:val="auto"/>
          <w:kern w:val="2"/>
          <w:sz w:val="28"/>
          <w:szCs w:val="28"/>
        </w:rPr>
        <w:t>、拍卖人有权根据实际情况对网络公示拍卖文件进行修正或补充，拍卖人可在拍卖竞价开始前以线上变更调整拍卖公告、竞买须知、附件等内容告知竞买人。凡竞买人应价，将被视为已经知悉并接受认可该修正或补充，故竞买人须在拍卖出价当日再次查询线上拍卖文件。本竞买须知及修正与补充均作为《拍卖成交确认书》的附件，具有法律效力。</w:t>
      </w:r>
      <w:r>
        <w:rPr>
          <w:rFonts w:hint="eastAsia" w:ascii="仿宋" w:hAnsi="仿宋" w:eastAsia="仿宋" w:cs="仿宋"/>
          <w:color w:val="auto"/>
          <w:kern w:val="2"/>
          <w:sz w:val="28"/>
          <w:szCs w:val="28"/>
        </w:rPr>
        <w:t>拍卖人有权拒绝无效应价，撤回或缓拍拍卖标的，有权判断应价错误或纠纷，并重新提呈或恢复拍卖，有权采取其他合理的行为及措施，拍卖师在拍卖会中可行使上述权力。</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十</w:t>
      </w:r>
      <w:r>
        <w:rPr>
          <w:rFonts w:hint="eastAsia" w:ascii="仿宋" w:hAnsi="仿宋" w:eastAsia="仿宋" w:cs="Times New Roman"/>
          <w:color w:val="auto"/>
          <w:kern w:val="2"/>
          <w:sz w:val="28"/>
          <w:szCs w:val="28"/>
          <w:lang w:val="en-US" w:eastAsia="zh-CN"/>
        </w:rPr>
        <w:t>六</w:t>
      </w:r>
      <w:r>
        <w:rPr>
          <w:rFonts w:hint="eastAsia" w:ascii="仿宋" w:hAnsi="仿宋" w:eastAsia="仿宋" w:cs="Times New Roman"/>
          <w:color w:val="auto"/>
          <w:kern w:val="2"/>
          <w:sz w:val="28"/>
          <w:szCs w:val="28"/>
        </w:rPr>
        <w:t>、重点注意事项</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ascii="仿宋" w:hAnsi="仿宋" w:eastAsia="仿宋" w:cs="Times New Roman"/>
          <w:color w:val="auto"/>
          <w:kern w:val="2"/>
          <w:sz w:val="28"/>
          <w:szCs w:val="28"/>
        </w:rPr>
        <w:t>1</w:t>
      </w:r>
      <w:r>
        <w:rPr>
          <w:rFonts w:hint="eastAsia" w:ascii="仿宋" w:hAnsi="仿宋" w:eastAsia="仿宋" w:cs="Times New Roman"/>
          <w:color w:val="auto"/>
          <w:kern w:val="2"/>
          <w:sz w:val="28"/>
          <w:szCs w:val="28"/>
        </w:rPr>
        <w:t>、本次拍卖所提供的文件资料若因印刷、拷贝或摄影等原因造成资料与实物有误差的，以实物现状和有效证件为准。</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ascii="仿宋" w:hAnsi="仿宋" w:eastAsia="仿宋" w:cs="Times New Roman"/>
          <w:color w:val="auto"/>
          <w:kern w:val="2"/>
          <w:sz w:val="28"/>
          <w:szCs w:val="28"/>
        </w:rPr>
        <w:t>2</w:t>
      </w:r>
      <w:r>
        <w:rPr>
          <w:rFonts w:hint="eastAsia" w:ascii="仿宋" w:hAnsi="仿宋" w:eastAsia="仿宋" w:cs="Times New Roman"/>
          <w:color w:val="auto"/>
          <w:kern w:val="2"/>
          <w:sz w:val="28"/>
          <w:szCs w:val="28"/>
        </w:rPr>
        <w:t>、瑕疵担保责任：本次拍卖的标的物，是按标的物的现状进行拍卖。委托人及拍卖人对标的物的状态和品质不作担保，不对拍卖标的物已知或未知瑕疵负责，竞买人是承担风险参与竞买，应自行承担标的物的瑕疵风险。买受人没有瑕疵担保请求权，不得在竞买成功后另行主张标的物的瑕疵权利。</w:t>
      </w:r>
    </w:p>
    <w:p>
      <w:pPr>
        <w:spacing w:line="480" w:lineRule="exact"/>
        <w:ind w:firstLine="560" w:firstLineChars="200"/>
        <w:rPr>
          <w:rFonts w:hint="eastAsia" w:ascii="仿宋" w:hAnsi="仿宋" w:eastAsia="仿宋" w:cs="仿宋"/>
          <w:color w:val="auto"/>
          <w:sz w:val="28"/>
          <w:szCs w:val="28"/>
        </w:rPr>
      </w:pPr>
      <w:r>
        <w:rPr>
          <w:rFonts w:ascii="仿宋" w:hAnsi="仿宋" w:eastAsia="仿宋"/>
          <w:color w:val="auto"/>
          <w:sz w:val="28"/>
          <w:szCs w:val="28"/>
        </w:rPr>
        <w:t>3</w:t>
      </w:r>
      <w:r>
        <w:rPr>
          <w:rFonts w:hint="eastAsia" w:ascii="仿宋" w:hAnsi="仿宋" w:eastAsia="仿宋"/>
          <w:color w:val="auto"/>
          <w:sz w:val="28"/>
          <w:szCs w:val="28"/>
        </w:rPr>
        <w:t>、本次拍卖标的产生的相关税费由买受人自行承担。</w:t>
      </w:r>
      <w:r>
        <w:rPr>
          <w:rFonts w:hint="eastAsia" w:ascii="仿宋" w:hAnsi="仿宋" w:eastAsia="仿宋" w:cs="仿宋"/>
          <w:color w:val="auto"/>
          <w:sz w:val="28"/>
          <w:szCs w:val="28"/>
        </w:rPr>
        <w:t>具体自行咨询当地有关部门。</w:t>
      </w:r>
    </w:p>
    <w:p>
      <w:pPr>
        <w:tabs>
          <w:tab w:val="left" w:pos="1515"/>
        </w:tabs>
        <w:spacing w:line="480" w:lineRule="exact"/>
        <w:ind w:firstLine="560" w:firstLineChars="200"/>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4、</w:t>
      </w:r>
      <w:r>
        <w:rPr>
          <w:rFonts w:hint="eastAsia" w:ascii="仿宋" w:hAnsi="仿宋" w:eastAsia="仿宋" w:cs="仿宋"/>
          <w:color w:val="auto"/>
          <w:sz w:val="28"/>
          <w:szCs w:val="28"/>
        </w:rPr>
        <w:t>拍卖标的买受人需在202</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月</w:t>
      </w:r>
      <w:r>
        <w:rPr>
          <w:rFonts w:hint="eastAsia" w:ascii="仿宋" w:hAnsi="仿宋" w:eastAsia="仿宋" w:cs="仿宋"/>
          <w:color w:val="auto"/>
          <w:sz w:val="28"/>
          <w:szCs w:val="28"/>
          <w:lang w:val="en-US" w:eastAsia="zh-CN"/>
        </w:rPr>
        <w:t>21</w:t>
      </w:r>
      <w:r>
        <w:rPr>
          <w:rFonts w:hint="eastAsia" w:ascii="仿宋" w:hAnsi="仿宋" w:eastAsia="仿宋" w:cs="仿宋"/>
          <w:color w:val="auto"/>
          <w:sz w:val="28"/>
          <w:szCs w:val="28"/>
        </w:rPr>
        <w:t>日前签订相应标的合同，如未按规定签订的，作违约处理，竞买保证金不予返还。标的买受人需向委托方交纳履约保证金</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100万元）</w:t>
      </w:r>
      <w:r>
        <w:rPr>
          <w:rFonts w:hint="eastAsia" w:ascii="仿宋" w:hAnsi="仿宋" w:eastAsia="仿宋" w:cs="仿宋"/>
          <w:color w:val="auto"/>
          <w:sz w:val="28"/>
          <w:szCs w:val="28"/>
        </w:rPr>
        <w:t>。履约保证金与约定缴纳的成交款同时交纳，如不按期交纳，则作违约处理，竞买保证金予以没收。如期满无违约行为，履约保证金返还。</w:t>
      </w:r>
    </w:p>
    <w:p>
      <w:pPr>
        <w:keepNext w:val="0"/>
        <w:keepLines w:val="0"/>
        <w:pageBreakBefore w:val="0"/>
        <w:kinsoku/>
        <w:wordWrap/>
        <w:overflowPunct/>
        <w:topLinePunct w:val="0"/>
        <w:autoSpaceDE/>
        <w:autoSpaceDN/>
        <w:bidi w:val="0"/>
        <w:spacing w:line="52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lang w:val="en-US" w:eastAsia="zh-CN"/>
        </w:rPr>
        <w:t>5</w:t>
      </w:r>
      <w:r>
        <w:rPr>
          <w:rFonts w:hint="eastAsia" w:ascii="仿宋" w:hAnsi="仿宋" w:eastAsia="仿宋"/>
          <w:color w:val="auto"/>
          <w:sz w:val="28"/>
          <w:szCs w:val="28"/>
        </w:rPr>
        <w:t>、本次拍卖标的买受人与委托人签订相应标的合同后，由委托人负责将标的按期移交给买受人。如因特殊情况，委托方无法按期将标的移交给买受人，则起始时间以实际移交时间为准。</w:t>
      </w:r>
    </w:p>
    <w:p>
      <w:pPr>
        <w:keepNext w:val="0"/>
        <w:keepLines w:val="0"/>
        <w:pageBreakBefore w:val="0"/>
        <w:kinsoku/>
        <w:wordWrap/>
        <w:overflowPunct/>
        <w:topLinePunct w:val="0"/>
        <w:autoSpaceDE/>
        <w:autoSpaceDN/>
        <w:bidi w:val="0"/>
        <w:spacing w:line="520" w:lineRule="exact"/>
        <w:ind w:firstLine="554" w:firstLineChars="198"/>
        <w:textAlignment w:val="auto"/>
        <w:rPr>
          <w:rFonts w:hint="eastAsia" w:ascii="仿宋" w:hAnsi="仿宋" w:eastAsia="仿宋"/>
          <w:color w:val="auto"/>
          <w:sz w:val="28"/>
          <w:szCs w:val="28"/>
        </w:rPr>
      </w:pPr>
      <w:r>
        <w:rPr>
          <w:rFonts w:hint="eastAsia" w:ascii="仿宋" w:hAnsi="仿宋" w:eastAsia="仿宋"/>
          <w:color w:val="auto"/>
          <w:sz w:val="28"/>
          <w:szCs w:val="28"/>
        </w:rPr>
        <w:t>6、本次拍卖标的剩余租金支付方式: 第二年起由委托方在每年租期开始前一个月自行收取一年的租金。</w:t>
      </w:r>
      <w:r>
        <w:rPr>
          <w:rFonts w:hint="eastAsia" w:ascii="仿宋" w:hAnsi="仿宋" w:eastAsia="仿宋"/>
          <w:color w:val="auto"/>
          <w:sz w:val="28"/>
          <w:szCs w:val="28"/>
          <w:lang w:val="en-US" w:eastAsia="zh-CN"/>
        </w:rPr>
        <w:t>项目前五年租金不变，后五年的年租金在前五年的基础上环比递增8%。</w:t>
      </w:r>
    </w:p>
    <w:p>
      <w:pPr>
        <w:pStyle w:val="4"/>
        <w:keepNext w:val="0"/>
        <w:keepLines w:val="0"/>
        <w:pageBreakBefore w:val="0"/>
        <w:widowControl w:val="0"/>
        <w:kinsoku/>
        <w:wordWrap/>
        <w:overflowPunct/>
        <w:topLinePunct w:val="0"/>
        <w:autoSpaceDE/>
        <w:autoSpaceDN/>
        <w:bidi w:val="0"/>
        <w:adjustRightInd w:val="0"/>
        <w:snapToGrid w:val="0"/>
        <w:spacing w:after="0" w:line="480" w:lineRule="exact"/>
        <w:ind w:left="0" w:leftChars="0" w:firstLine="560" w:firstLineChars="200"/>
        <w:jc w:val="left"/>
        <w:textAlignment w:val="auto"/>
        <w:rPr>
          <w:rFonts w:hint="default" w:ascii="仿宋" w:hAnsi="仿宋" w:eastAsia="仿宋" w:cs="仿宋"/>
          <w:b w:val="0"/>
          <w:bCs/>
          <w:color w:val="auto"/>
          <w:sz w:val="28"/>
          <w:szCs w:val="28"/>
          <w:highlight w:val="none"/>
          <w:lang w:val="en-US" w:eastAsia="zh-CN"/>
        </w:rPr>
      </w:pPr>
      <w:r>
        <w:rPr>
          <w:rFonts w:hint="eastAsia" w:ascii="仿宋" w:hAnsi="仿宋" w:eastAsia="仿宋"/>
          <w:color w:val="auto"/>
          <w:sz w:val="28"/>
          <w:szCs w:val="28"/>
          <w:highlight w:val="none"/>
          <w:lang w:val="en-US" w:eastAsia="zh-CN"/>
        </w:rPr>
        <w:t>7、</w:t>
      </w:r>
      <w:r>
        <w:rPr>
          <w:rFonts w:hint="eastAsia" w:ascii="仿宋" w:hAnsi="仿宋" w:eastAsia="仿宋" w:cs="仿宋"/>
          <w:bCs/>
          <w:color w:val="auto"/>
          <w:sz w:val="28"/>
          <w:szCs w:val="28"/>
          <w:highlight w:val="none"/>
          <w:lang w:val="en-US" w:eastAsia="zh-CN"/>
        </w:rPr>
        <w:t>拍卖成交后，</w:t>
      </w:r>
      <w:r>
        <w:rPr>
          <w:rFonts w:hint="eastAsia" w:ascii="仿宋" w:hAnsi="仿宋" w:eastAsia="仿宋" w:cs="仿宋"/>
          <w:b w:val="0"/>
          <w:bCs/>
          <w:color w:val="auto"/>
          <w:sz w:val="28"/>
          <w:szCs w:val="28"/>
          <w:highlight w:val="none"/>
          <w:lang w:val="en-US" w:eastAsia="zh-CN"/>
        </w:rPr>
        <w:t>买受人</w:t>
      </w:r>
      <w:r>
        <w:rPr>
          <w:rFonts w:hint="eastAsia" w:ascii="仿宋" w:hAnsi="仿宋" w:eastAsia="仿宋" w:cs="仿宋"/>
          <w:b w:val="0"/>
          <w:bCs/>
          <w:color w:val="auto"/>
          <w:sz w:val="28"/>
          <w:szCs w:val="28"/>
          <w:highlight w:val="none"/>
        </w:rPr>
        <w:t>应</w:t>
      </w:r>
      <w:r>
        <w:rPr>
          <w:rFonts w:hint="eastAsia" w:ascii="仿宋" w:hAnsi="仿宋" w:eastAsia="仿宋" w:cs="仿宋"/>
          <w:b w:val="0"/>
          <w:bCs/>
          <w:color w:val="auto"/>
          <w:sz w:val="28"/>
          <w:szCs w:val="28"/>
          <w:highlight w:val="none"/>
          <w:lang w:val="en-US" w:eastAsia="zh-CN"/>
        </w:rPr>
        <w:t>在十五天内及时编</w:t>
      </w:r>
      <w:r>
        <w:rPr>
          <w:rFonts w:hint="eastAsia" w:ascii="仿宋" w:hAnsi="仿宋" w:eastAsia="仿宋" w:cs="仿宋"/>
          <w:b w:val="0"/>
          <w:bCs/>
          <w:color w:val="auto"/>
          <w:sz w:val="28"/>
          <w:szCs w:val="28"/>
          <w:highlight w:val="none"/>
        </w:rPr>
        <w:t>制项目</w:t>
      </w:r>
      <w:r>
        <w:rPr>
          <w:rFonts w:hint="eastAsia" w:ascii="仿宋" w:hAnsi="仿宋" w:eastAsia="仿宋" w:cs="仿宋"/>
          <w:b w:val="0"/>
          <w:bCs/>
          <w:color w:val="auto"/>
          <w:sz w:val="28"/>
          <w:szCs w:val="28"/>
          <w:highlight w:val="none"/>
          <w:lang w:val="en-US" w:eastAsia="zh-CN"/>
        </w:rPr>
        <w:t>设计</w:t>
      </w:r>
      <w:r>
        <w:rPr>
          <w:rFonts w:hint="eastAsia" w:ascii="仿宋" w:hAnsi="仿宋" w:eastAsia="仿宋" w:cs="仿宋"/>
          <w:b w:val="0"/>
          <w:bCs/>
          <w:color w:val="auto"/>
          <w:sz w:val="28"/>
          <w:szCs w:val="28"/>
          <w:highlight w:val="none"/>
        </w:rPr>
        <w:t>方案</w:t>
      </w:r>
      <w:r>
        <w:rPr>
          <w:rFonts w:hint="eastAsia" w:ascii="仿宋" w:hAnsi="仿宋" w:eastAsia="仿宋" w:cs="仿宋"/>
          <w:b w:val="0"/>
          <w:bCs/>
          <w:color w:val="auto"/>
          <w:sz w:val="28"/>
          <w:szCs w:val="28"/>
          <w:highlight w:val="none"/>
          <w:lang w:val="en-US" w:eastAsia="zh-CN"/>
        </w:rPr>
        <w:t>供委托方审核及通过，方案须配合周边旅游生态，并</w:t>
      </w:r>
      <w:r>
        <w:rPr>
          <w:rFonts w:hint="eastAsia" w:ascii="仿宋" w:hAnsi="仿宋" w:eastAsia="仿宋" w:cs="仿宋"/>
          <w:b w:val="0"/>
          <w:bCs/>
          <w:color w:val="auto"/>
          <w:sz w:val="28"/>
          <w:szCs w:val="28"/>
          <w:highlight w:val="none"/>
        </w:rPr>
        <w:t>负责</w:t>
      </w:r>
      <w:r>
        <w:rPr>
          <w:rFonts w:hint="eastAsia" w:ascii="仿宋" w:hAnsi="仿宋" w:eastAsia="仿宋" w:cs="仿宋"/>
          <w:b w:val="0"/>
          <w:bCs/>
          <w:color w:val="auto"/>
          <w:sz w:val="28"/>
          <w:szCs w:val="28"/>
          <w:highlight w:val="none"/>
          <w:lang w:val="en-US" w:eastAsia="zh-CN"/>
        </w:rPr>
        <w:t>全面</w:t>
      </w:r>
      <w:r>
        <w:rPr>
          <w:rFonts w:hint="eastAsia" w:ascii="仿宋" w:hAnsi="仿宋" w:eastAsia="仿宋" w:cs="仿宋"/>
          <w:b w:val="0"/>
          <w:bCs/>
          <w:color w:val="auto"/>
          <w:sz w:val="28"/>
          <w:szCs w:val="28"/>
          <w:highlight w:val="none"/>
        </w:rPr>
        <w:t>投入项目所需的所有</w:t>
      </w:r>
      <w:r>
        <w:rPr>
          <w:rFonts w:hint="eastAsia" w:ascii="仿宋" w:hAnsi="仿宋" w:eastAsia="仿宋" w:cs="仿宋"/>
          <w:b w:val="0"/>
          <w:bCs/>
          <w:color w:val="auto"/>
          <w:sz w:val="28"/>
          <w:szCs w:val="28"/>
          <w:highlight w:val="none"/>
          <w:lang w:val="en-US" w:eastAsia="zh-CN"/>
        </w:rPr>
        <w:t>建设</w:t>
      </w:r>
      <w:r>
        <w:rPr>
          <w:rFonts w:hint="eastAsia" w:ascii="仿宋" w:hAnsi="仿宋" w:eastAsia="仿宋" w:cs="仿宋"/>
          <w:b w:val="0"/>
          <w:bCs/>
          <w:color w:val="auto"/>
          <w:sz w:val="28"/>
          <w:szCs w:val="28"/>
          <w:highlight w:val="none"/>
        </w:rPr>
        <w:t>内容，</w:t>
      </w:r>
      <w:r>
        <w:rPr>
          <w:rFonts w:hint="eastAsia" w:ascii="仿宋" w:hAnsi="仿宋" w:eastAsia="仿宋" w:cs="仿宋"/>
          <w:b w:val="0"/>
          <w:bCs/>
          <w:color w:val="auto"/>
          <w:sz w:val="28"/>
          <w:szCs w:val="28"/>
          <w:highlight w:val="none"/>
          <w:lang w:val="en-US" w:eastAsia="zh-CN"/>
        </w:rPr>
        <w:t>包括后续相应</w:t>
      </w:r>
      <w:r>
        <w:rPr>
          <w:rFonts w:hint="eastAsia" w:ascii="仿宋" w:hAnsi="仿宋" w:eastAsia="仿宋" w:cs="仿宋"/>
          <w:b w:val="0"/>
          <w:bCs/>
          <w:color w:val="auto"/>
          <w:sz w:val="28"/>
          <w:szCs w:val="28"/>
          <w:highlight w:val="none"/>
        </w:rPr>
        <w:t>的</w:t>
      </w:r>
      <w:r>
        <w:rPr>
          <w:rFonts w:hint="eastAsia" w:ascii="仿宋" w:hAnsi="仿宋" w:eastAsia="仿宋" w:cs="仿宋"/>
          <w:b w:val="0"/>
          <w:bCs/>
          <w:color w:val="auto"/>
          <w:sz w:val="28"/>
          <w:szCs w:val="28"/>
          <w:highlight w:val="none"/>
          <w:lang w:val="en-US" w:eastAsia="zh-CN"/>
        </w:rPr>
        <w:t>实施和</w:t>
      </w:r>
      <w:r>
        <w:rPr>
          <w:rFonts w:hint="eastAsia" w:ascii="仿宋" w:hAnsi="仿宋" w:eastAsia="仿宋" w:cs="仿宋"/>
          <w:b w:val="0"/>
          <w:bCs/>
          <w:color w:val="auto"/>
          <w:sz w:val="28"/>
          <w:szCs w:val="28"/>
          <w:highlight w:val="none"/>
        </w:rPr>
        <w:t>运营管理</w:t>
      </w:r>
      <w:r>
        <w:rPr>
          <w:rFonts w:hint="eastAsia" w:ascii="仿宋" w:hAnsi="仿宋" w:eastAsia="仿宋" w:cs="仿宋"/>
          <w:b w:val="0"/>
          <w:bCs/>
          <w:color w:val="auto"/>
          <w:sz w:val="28"/>
          <w:szCs w:val="28"/>
          <w:highlight w:val="none"/>
          <w:lang w:val="en-US" w:eastAsia="zh-CN"/>
        </w:rPr>
        <w:t>等。</w:t>
      </w:r>
    </w:p>
    <w:p>
      <w:pPr>
        <w:pStyle w:val="4"/>
        <w:keepNext w:val="0"/>
        <w:keepLines w:val="0"/>
        <w:pageBreakBefore w:val="0"/>
        <w:widowControl w:val="0"/>
        <w:numPr>
          <w:ilvl w:val="-1"/>
          <w:numId w:val="0"/>
        </w:numPr>
        <w:kinsoku/>
        <w:wordWrap/>
        <w:overflowPunct/>
        <w:topLinePunct w:val="0"/>
        <w:autoSpaceDE/>
        <w:autoSpaceDN/>
        <w:bidi w:val="0"/>
        <w:adjustRightInd w:val="0"/>
        <w:snapToGrid w:val="0"/>
        <w:spacing w:after="0" w:line="480" w:lineRule="exact"/>
        <w:ind w:left="0" w:leftChars="0" w:firstLine="560" w:firstLineChars="200"/>
        <w:jc w:val="left"/>
        <w:textAlignment w:val="auto"/>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lang w:val="en-US" w:eastAsia="zh-CN"/>
        </w:rPr>
        <w:t>8、买受人在承租期前3年内累计投资不少于600</w:t>
      </w:r>
      <w:r>
        <w:rPr>
          <w:rFonts w:hint="eastAsia" w:ascii="仿宋" w:hAnsi="仿宋" w:eastAsia="仿宋" w:cs="仿宋"/>
          <w:bCs/>
          <w:color w:val="auto"/>
          <w:sz w:val="28"/>
          <w:szCs w:val="28"/>
          <w:highlight w:val="none"/>
        </w:rPr>
        <w:t>万元</w:t>
      </w:r>
      <w:r>
        <w:rPr>
          <w:rFonts w:hint="eastAsia" w:ascii="仿宋" w:hAnsi="仿宋" w:eastAsia="仿宋" w:cs="仿宋"/>
          <w:bCs/>
          <w:color w:val="auto"/>
          <w:sz w:val="28"/>
          <w:szCs w:val="28"/>
          <w:highlight w:val="none"/>
          <w:lang w:eastAsia="zh-CN"/>
        </w:rPr>
        <w:t>，</w:t>
      </w:r>
      <w:r>
        <w:rPr>
          <w:rFonts w:hint="eastAsia" w:ascii="仿宋" w:hAnsi="仿宋" w:eastAsia="仿宋" w:cs="仿宋"/>
          <w:bCs/>
          <w:color w:val="auto"/>
          <w:sz w:val="28"/>
          <w:szCs w:val="28"/>
          <w:highlight w:val="none"/>
          <w:lang w:val="en-US" w:eastAsia="zh-CN"/>
        </w:rPr>
        <w:t>其中包含修缮原房屋建筑，面积不少于500㎡。租赁到期后，范围内所有新增建筑、不可移动的装修及设施无偿归合新村集体所有。</w:t>
      </w:r>
    </w:p>
    <w:p>
      <w:pPr>
        <w:pStyle w:val="4"/>
        <w:keepNext w:val="0"/>
        <w:keepLines w:val="0"/>
        <w:pageBreakBefore w:val="0"/>
        <w:widowControl w:val="0"/>
        <w:numPr>
          <w:ilvl w:val="-1"/>
          <w:numId w:val="0"/>
        </w:numPr>
        <w:kinsoku/>
        <w:wordWrap/>
        <w:overflowPunct/>
        <w:topLinePunct w:val="0"/>
        <w:autoSpaceDE/>
        <w:autoSpaceDN/>
        <w:bidi w:val="0"/>
        <w:adjustRightInd w:val="0"/>
        <w:snapToGrid w:val="0"/>
        <w:spacing w:after="0" w:line="480" w:lineRule="exact"/>
        <w:ind w:left="0" w:leftChars="0" w:firstLine="560" w:firstLineChars="200"/>
        <w:jc w:val="left"/>
        <w:textAlignment w:val="auto"/>
        <w:rPr>
          <w:rFonts w:hint="default" w:ascii="仿宋" w:hAnsi="仿宋" w:eastAsia="仿宋" w:cs="仿宋"/>
          <w:b w:val="0"/>
          <w:bCs/>
          <w:color w:val="auto"/>
          <w:sz w:val="28"/>
          <w:szCs w:val="28"/>
          <w:highlight w:val="none"/>
          <w:lang w:val="en-US"/>
        </w:rPr>
      </w:pPr>
      <w:r>
        <w:rPr>
          <w:rFonts w:hint="eastAsia" w:ascii="仿宋" w:hAnsi="仿宋" w:eastAsia="仿宋" w:cs="仿宋"/>
          <w:bCs/>
          <w:color w:val="auto"/>
          <w:sz w:val="28"/>
          <w:szCs w:val="28"/>
          <w:highlight w:val="none"/>
          <w:lang w:val="en-US" w:eastAsia="zh-CN"/>
        </w:rPr>
        <w:t>9、买受人如在上述期限内达到投资额600万元以上的（投资金额需经第三方评估确认），则退还履约保证金85万元，剩余15万履约保证金到期无违约行为退还；如未能按要求达到投资金额，则委托方有权作买受人违约处理，履约保证金不予退还，相关法律责任和经济损失由买受人自负。</w:t>
      </w:r>
    </w:p>
    <w:p>
      <w:pPr>
        <w:pStyle w:val="4"/>
        <w:keepNext w:val="0"/>
        <w:keepLines w:val="0"/>
        <w:pageBreakBefore w:val="0"/>
        <w:widowControl w:val="0"/>
        <w:numPr>
          <w:ilvl w:val="-1"/>
          <w:numId w:val="0"/>
        </w:numPr>
        <w:kinsoku/>
        <w:wordWrap/>
        <w:overflowPunct/>
        <w:topLinePunct w:val="0"/>
        <w:autoSpaceDE/>
        <w:autoSpaceDN/>
        <w:bidi w:val="0"/>
        <w:adjustRightInd w:val="0"/>
        <w:snapToGrid w:val="0"/>
        <w:spacing w:after="0" w:line="480" w:lineRule="exact"/>
        <w:ind w:left="0" w:leftChars="0" w:firstLine="560" w:firstLineChars="200"/>
        <w:jc w:val="left"/>
        <w:textAlignment w:val="auto"/>
        <w:rPr>
          <w:rFonts w:hint="eastAsia" w:ascii="仿宋" w:hAnsi="仿宋" w:eastAsia="仿宋"/>
          <w:color w:val="auto"/>
          <w:sz w:val="30"/>
          <w:szCs w:val="30"/>
          <w:highlight w:val="none"/>
          <w:lang w:val="en-US" w:eastAsia="zh-CN"/>
        </w:rPr>
      </w:pPr>
      <w:r>
        <w:rPr>
          <w:rFonts w:hint="eastAsia" w:ascii="仿宋" w:hAnsi="仿宋" w:eastAsia="仿宋" w:cs="仿宋"/>
          <w:b w:val="0"/>
          <w:bCs/>
          <w:color w:val="auto"/>
          <w:sz w:val="28"/>
          <w:szCs w:val="28"/>
          <w:highlight w:val="none"/>
          <w:lang w:val="en-US" w:eastAsia="zh-CN"/>
        </w:rPr>
        <w:t>10、买受人</w:t>
      </w:r>
      <w:r>
        <w:rPr>
          <w:rFonts w:hint="eastAsia" w:ascii="仿宋" w:hAnsi="仿宋" w:eastAsia="仿宋" w:cs="仿宋"/>
          <w:b w:val="0"/>
          <w:bCs/>
          <w:color w:val="auto"/>
          <w:sz w:val="28"/>
          <w:szCs w:val="28"/>
          <w:highlight w:val="none"/>
        </w:rPr>
        <w:t>应积极办理项目实施</w:t>
      </w:r>
      <w:r>
        <w:rPr>
          <w:rFonts w:hint="eastAsia" w:ascii="仿宋" w:hAnsi="仿宋" w:eastAsia="仿宋" w:cs="仿宋"/>
          <w:b w:val="0"/>
          <w:bCs/>
          <w:color w:val="auto"/>
          <w:sz w:val="28"/>
          <w:szCs w:val="28"/>
          <w:highlight w:val="none"/>
          <w:lang w:val="en-US" w:eastAsia="zh-CN"/>
        </w:rPr>
        <w:t>的</w:t>
      </w:r>
      <w:r>
        <w:rPr>
          <w:rFonts w:hint="eastAsia" w:ascii="仿宋" w:hAnsi="仿宋" w:eastAsia="仿宋" w:cs="仿宋"/>
          <w:b w:val="0"/>
          <w:bCs/>
          <w:color w:val="auto"/>
          <w:sz w:val="28"/>
          <w:szCs w:val="28"/>
          <w:highlight w:val="none"/>
        </w:rPr>
        <w:t>相关手续，合法经营，保证项目公司的设施、内容的安全性，自觉接受政府机构的监督、检查，保障游客安全。经营期间相关场所的安全事故由</w:t>
      </w:r>
      <w:r>
        <w:rPr>
          <w:rFonts w:hint="eastAsia" w:ascii="仿宋" w:hAnsi="仿宋" w:eastAsia="仿宋" w:cs="仿宋"/>
          <w:b w:val="0"/>
          <w:bCs/>
          <w:color w:val="auto"/>
          <w:sz w:val="28"/>
          <w:szCs w:val="28"/>
          <w:highlight w:val="none"/>
          <w:lang w:val="en-US" w:eastAsia="zh-CN"/>
        </w:rPr>
        <w:t>买受人</w:t>
      </w:r>
      <w:r>
        <w:rPr>
          <w:rFonts w:hint="eastAsia" w:ascii="仿宋" w:hAnsi="仿宋" w:eastAsia="仿宋" w:cs="仿宋"/>
          <w:b w:val="0"/>
          <w:bCs/>
          <w:color w:val="auto"/>
          <w:sz w:val="28"/>
          <w:szCs w:val="28"/>
          <w:highlight w:val="none"/>
        </w:rPr>
        <w:t>负责，与</w:t>
      </w:r>
      <w:r>
        <w:rPr>
          <w:rFonts w:hint="eastAsia" w:ascii="仿宋" w:hAnsi="仿宋" w:eastAsia="仿宋" w:cs="仿宋"/>
          <w:b w:val="0"/>
          <w:bCs/>
          <w:color w:val="auto"/>
          <w:sz w:val="28"/>
          <w:szCs w:val="28"/>
          <w:highlight w:val="none"/>
          <w:lang w:val="en-US" w:eastAsia="zh-CN"/>
        </w:rPr>
        <w:t>委托方</w:t>
      </w:r>
      <w:r>
        <w:rPr>
          <w:rFonts w:hint="eastAsia" w:ascii="仿宋" w:hAnsi="仿宋" w:eastAsia="仿宋" w:cs="仿宋"/>
          <w:b w:val="0"/>
          <w:bCs/>
          <w:color w:val="auto"/>
          <w:sz w:val="28"/>
          <w:szCs w:val="28"/>
          <w:highlight w:val="none"/>
        </w:rPr>
        <w:t>无关。</w:t>
      </w:r>
    </w:p>
    <w:p>
      <w:pPr>
        <w:keepNext w:val="0"/>
        <w:keepLines w:val="0"/>
        <w:pageBreakBefore w:val="0"/>
        <w:kinsoku/>
        <w:wordWrap/>
        <w:overflowPunct/>
        <w:topLinePunct w:val="0"/>
        <w:autoSpaceDE/>
        <w:autoSpaceDN/>
        <w:bidi w:val="0"/>
        <w:spacing w:line="520" w:lineRule="exact"/>
        <w:ind w:firstLine="554" w:firstLineChars="198"/>
        <w:textAlignment w:val="auto"/>
        <w:rPr>
          <w:rFonts w:ascii="仿宋" w:hAnsi="仿宋" w:eastAsia="仿宋"/>
          <w:b/>
          <w:color w:val="auto"/>
          <w:sz w:val="28"/>
          <w:szCs w:val="28"/>
        </w:rPr>
      </w:pPr>
      <w:r>
        <w:rPr>
          <w:rFonts w:hint="eastAsia" w:ascii="仿宋" w:hAnsi="仿宋" w:eastAsia="仿宋"/>
          <w:color w:val="auto"/>
          <w:sz w:val="28"/>
          <w:szCs w:val="28"/>
          <w:lang w:val="en-US" w:eastAsia="zh-CN"/>
        </w:rPr>
        <w:t>11</w:t>
      </w:r>
      <w:r>
        <w:rPr>
          <w:rFonts w:hint="eastAsia" w:ascii="仿宋" w:hAnsi="仿宋" w:eastAsia="仿宋"/>
          <w:color w:val="auto"/>
          <w:sz w:val="28"/>
          <w:szCs w:val="28"/>
        </w:rPr>
        <w:t>、本次拍卖标的只包含标的及附属在标的上的不可移动饰物的租赁权，在标的上的可移动饰物不在租赁范围内。标的买受人在租赁期间对标的进行装修时，不得破坏标的结构及其他配套设施，如有损坏，应当恢复原状或折价赔偿。租赁期满后，装修部分无偿归委托人所有（可移动饰物除外），不得以任何理由自行拆除。</w:t>
      </w:r>
    </w:p>
    <w:p>
      <w:pPr>
        <w:keepNext w:val="0"/>
        <w:keepLines w:val="0"/>
        <w:pageBreakBefore w:val="0"/>
        <w:kinsoku/>
        <w:wordWrap/>
        <w:overflowPunct/>
        <w:topLinePunct w:val="0"/>
        <w:autoSpaceDE/>
        <w:autoSpaceDN/>
        <w:bidi w:val="0"/>
        <w:spacing w:line="52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lang w:val="en-US" w:eastAsia="zh-CN"/>
        </w:rPr>
        <w:t>12</w:t>
      </w:r>
      <w:r>
        <w:rPr>
          <w:rFonts w:hint="eastAsia" w:ascii="仿宋" w:hAnsi="仿宋" w:eastAsia="仿宋"/>
          <w:color w:val="auto"/>
          <w:sz w:val="28"/>
          <w:szCs w:val="28"/>
        </w:rPr>
        <w:t>、本次拍卖标的买受人不得擅自将上述租赁标的转租、分租或变相转租，否则买受人承担一切法律责任和经济损失等后果。</w:t>
      </w:r>
    </w:p>
    <w:p>
      <w:pPr>
        <w:keepNext w:val="0"/>
        <w:keepLines w:val="0"/>
        <w:pageBreakBefore w:val="0"/>
        <w:tabs>
          <w:tab w:val="left" w:pos="1515"/>
        </w:tabs>
        <w:kinsoku/>
        <w:wordWrap/>
        <w:overflowPunct/>
        <w:topLinePunct w:val="0"/>
        <w:autoSpaceDE/>
        <w:autoSpaceDN/>
        <w:bidi w:val="0"/>
        <w:spacing w:line="52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w:t>
      </w:r>
      <w:r>
        <w:rPr>
          <w:rFonts w:hint="eastAsia" w:ascii="仿宋" w:hAnsi="仿宋" w:eastAsia="仿宋"/>
          <w:color w:val="auto"/>
          <w:sz w:val="28"/>
          <w:szCs w:val="28"/>
          <w:lang w:val="en-US" w:eastAsia="zh-CN"/>
        </w:rPr>
        <w:t>3</w:t>
      </w:r>
      <w:r>
        <w:rPr>
          <w:rFonts w:hint="eastAsia" w:ascii="仿宋" w:hAnsi="仿宋" w:eastAsia="仿宋"/>
          <w:color w:val="auto"/>
          <w:sz w:val="28"/>
          <w:szCs w:val="28"/>
        </w:rPr>
        <w:t>、本次拍卖标的买受人如有违反本拍卖文件规定和相关合同约定情形的，委托方有权收回使用权，履约保证金将予以没收。</w:t>
      </w:r>
    </w:p>
    <w:p>
      <w:pPr>
        <w:keepNext w:val="0"/>
        <w:keepLines w:val="0"/>
        <w:pageBreakBefore w:val="0"/>
        <w:kinsoku/>
        <w:wordWrap/>
        <w:overflowPunct/>
        <w:topLinePunct w:val="0"/>
        <w:autoSpaceDE/>
        <w:autoSpaceDN/>
        <w:bidi w:val="0"/>
        <w:spacing w:line="52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1</w:t>
      </w:r>
      <w:r>
        <w:rPr>
          <w:rFonts w:hint="eastAsia" w:ascii="仿宋" w:hAnsi="仿宋" w:eastAsia="仿宋"/>
          <w:color w:val="auto"/>
          <w:sz w:val="28"/>
          <w:szCs w:val="28"/>
          <w:lang w:val="en-US" w:eastAsia="zh-CN"/>
        </w:rPr>
        <w:t>4</w:t>
      </w:r>
      <w:r>
        <w:rPr>
          <w:rFonts w:hint="eastAsia" w:ascii="仿宋" w:hAnsi="仿宋" w:eastAsia="仿宋"/>
          <w:color w:val="auto"/>
          <w:sz w:val="28"/>
          <w:szCs w:val="28"/>
        </w:rPr>
        <w:t>、本次拍卖标的双方应在签订相应合同后，提交相应合同复印件到新昌县公共资源交易中心登记备案。</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1</w:t>
      </w:r>
      <w:r>
        <w:rPr>
          <w:rFonts w:hint="eastAsia" w:ascii="仿宋" w:hAnsi="仿宋" w:eastAsia="仿宋" w:cs="Times New Roman"/>
          <w:color w:val="auto"/>
          <w:kern w:val="2"/>
          <w:sz w:val="28"/>
          <w:szCs w:val="28"/>
          <w:lang w:val="en-US" w:eastAsia="zh-CN"/>
        </w:rPr>
        <w:t>5</w:t>
      </w:r>
      <w:r>
        <w:rPr>
          <w:rFonts w:hint="eastAsia" w:ascii="仿宋" w:hAnsi="仿宋" w:eastAsia="仿宋" w:cs="Times New Roman"/>
          <w:color w:val="auto"/>
          <w:kern w:val="2"/>
          <w:sz w:val="28"/>
          <w:szCs w:val="28"/>
        </w:rPr>
        <w:t>、拍卖人根据法律规定有权在拍卖开始前中止拍卖或撤回拍卖，并不承担损失责任，请它详见相应合同。</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textAlignment w:val="auto"/>
        <w:rPr>
          <w:rFonts w:ascii="仿宋" w:hAnsi="仿宋" w:eastAsia="仿宋" w:cs="Times New Roman"/>
          <w:color w:val="auto"/>
          <w:kern w:val="2"/>
          <w:sz w:val="28"/>
          <w:szCs w:val="28"/>
        </w:rPr>
      </w:pPr>
      <w:r>
        <w:rPr>
          <w:rFonts w:hint="eastAsia" w:ascii="仿宋" w:hAnsi="仿宋" w:eastAsia="仿宋" w:cs="Times New Roman"/>
          <w:color w:val="auto"/>
          <w:kern w:val="2"/>
          <w:sz w:val="28"/>
          <w:szCs w:val="28"/>
        </w:rPr>
        <w:t>1</w:t>
      </w:r>
      <w:r>
        <w:rPr>
          <w:rFonts w:hint="eastAsia" w:ascii="仿宋" w:hAnsi="仿宋" w:eastAsia="仿宋" w:cs="Times New Roman"/>
          <w:color w:val="auto"/>
          <w:kern w:val="2"/>
          <w:sz w:val="28"/>
          <w:szCs w:val="28"/>
          <w:lang w:val="en-US" w:eastAsia="zh-CN"/>
        </w:rPr>
        <w:t>6</w:t>
      </w:r>
      <w:r>
        <w:rPr>
          <w:rFonts w:hint="eastAsia" w:ascii="仿宋" w:hAnsi="仿宋" w:eastAsia="仿宋" w:cs="Times New Roman"/>
          <w:color w:val="auto"/>
          <w:kern w:val="2"/>
          <w:sz w:val="28"/>
          <w:szCs w:val="28"/>
        </w:rPr>
        <w:t>、本规则其他未尽事宜，请咨询电话：</w:t>
      </w:r>
      <w:r>
        <w:rPr>
          <w:rFonts w:ascii="仿宋" w:hAnsi="仿宋" w:eastAsia="仿宋" w:cs="Times New Roman"/>
          <w:color w:val="auto"/>
          <w:kern w:val="2"/>
          <w:sz w:val="28"/>
          <w:szCs w:val="28"/>
        </w:rPr>
        <w:t>86026999  </w:t>
      </w:r>
    </w:p>
    <w:p>
      <w:pPr>
        <w:keepNext w:val="0"/>
        <w:keepLines w:val="0"/>
        <w:pageBreakBefore w:val="0"/>
        <w:kinsoku/>
        <w:wordWrap/>
        <w:overflowPunct/>
        <w:topLinePunct w:val="0"/>
        <w:autoSpaceDE/>
        <w:autoSpaceDN/>
        <w:bidi w:val="0"/>
        <w:adjustRightInd w:val="0"/>
        <w:snapToGrid w:val="0"/>
        <w:spacing w:line="520" w:lineRule="exact"/>
        <w:ind w:firstLine="560" w:firstLineChars="200"/>
        <w:textAlignment w:val="auto"/>
        <w:rPr>
          <w:rFonts w:ascii="仿宋" w:hAnsi="仿宋" w:eastAsia="仿宋"/>
          <w:color w:val="auto"/>
          <w:sz w:val="28"/>
          <w:szCs w:val="28"/>
        </w:rPr>
      </w:pPr>
      <w:r>
        <w:rPr>
          <w:rFonts w:hint="eastAsia" w:ascii="仿宋" w:hAnsi="仿宋" w:eastAsia="仿宋"/>
          <w:color w:val="auto"/>
          <w:sz w:val="28"/>
          <w:szCs w:val="28"/>
        </w:rPr>
        <w:t>注：如您认为我们主持的本次拍卖活动有违反《中华人民共和国拍卖法》的情况，致使您的权利受到侵害，可以向新昌县市场监督管理局投诉、举报。监督电话：0575—86121510</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textAlignment w:val="auto"/>
        <w:rPr>
          <w:rFonts w:ascii="仿宋" w:hAnsi="仿宋" w:eastAsia="仿宋" w:cs="Times New Roman"/>
          <w:color w:val="auto"/>
          <w:kern w:val="2"/>
          <w:sz w:val="28"/>
          <w:szCs w:val="28"/>
        </w:rPr>
      </w:pP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firstLine="560" w:firstLineChars="200"/>
        <w:jc w:val="right"/>
        <w:textAlignment w:val="auto"/>
        <w:rPr>
          <w:rFonts w:ascii="仿宋" w:hAnsi="仿宋" w:eastAsia="仿宋" w:cs="Times New Roman"/>
          <w:color w:val="auto"/>
          <w:kern w:val="2"/>
          <w:sz w:val="28"/>
          <w:szCs w:val="28"/>
        </w:rPr>
      </w:pPr>
      <w:r>
        <w:rPr>
          <w:rFonts w:ascii="仿宋" w:hAnsi="仿宋" w:eastAsia="仿宋" w:cs="Times New Roman"/>
          <w:color w:val="auto"/>
          <w:kern w:val="2"/>
          <w:sz w:val="28"/>
          <w:szCs w:val="28"/>
        </w:rPr>
        <w:t>               </w:t>
      </w:r>
      <w:r>
        <w:rPr>
          <w:rFonts w:hint="eastAsia" w:ascii="仿宋" w:hAnsi="仿宋" w:eastAsia="仿宋" w:cs="Times New Roman"/>
          <w:color w:val="auto"/>
          <w:kern w:val="2"/>
          <w:sz w:val="28"/>
          <w:szCs w:val="28"/>
        </w:rPr>
        <w:t xml:space="preserve">  浙江天平拍卖有限公司</w:t>
      </w:r>
    </w:p>
    <w:p>
      <w:pPr>
        <w:pStyle w:val="7"/>
        <w:keepNext w:val="0"/>
        <w:keepLines w:val="0"/>
        <w:pageBreakBefore w:val="0"/>
        <w:shd w:val="clear" w:color="auto" w:fill="FFFFFF"/>
        <w:kinsoku/>
        <w:wordWrap/>
        <w:overflowPunct/>
        <w:topLinePunct w:val="0"/>
        <w:autoSpaceDE/>
        <w:autoSpaceDN/>
        <w:bidi w:val="0"/>
        <w:spacing w:before="0" w:beforeAutospacing="0" w:after="0" w:afterAutospacing="0" w:line="520" w:lineRule="exact"/>
        <w:ind w:right="280" w:firstLine="4900" w:firstLineChars="1750"/>
        <w:jc w:val="right"/>
        <w:textAlignment w:val="auto"/>
        <w:rPr>
          <w:rFonts w:ascii="仿宋" w:hAnsi="仿宋" w:eastAsia="仿宋" w:cs="Times New Roman"/>
          <w:color w:val="auto"/>
          <w:kern w:val="2"/>
          <w:sz w:val="28"/>
          <w:szCs w:val="28"/>
        </w:rPr>
      </w:pPr>
      <w:r>
        <w:rPr>
          <w:rFonts w:ascii="仿宋" w:hAnsi="仿宋" w:eastAsia="仿宋" w:cs="Times New Roman"/>
          <w:color w:val="auto"/>
          <w:kern w:val="2"/>
          <w:sz w:val="28"/>
          <w:szCs w:val="28"/>
        </w:rPr>
        <w:t>202</w:t>
      </w:r>
      <w:r>
        <w:rPr>
          <w:rFonts w:hint="eastAsia" w:ascii="仿宋" w:hAnsi="仿宋" w:eastAsia="仿宋" w:cs="Times New Roman"/>
          <w:color w:val="auto"/>
          <w:kern w:val="2"/>
          <w:sz w:val="28"/>
          <w:szCs w:val="28"/>
          <w:lang w:val="en-US" w:eastAsia="zh-CN"/>
        </w:rPr>
        <w:t>3</w:t>
      </w:r>
      <w:r>
        <w:rPr>
          <w:rFonts w:hint="eastAsia" w:ascii="仿宋" w:hAnsi="仿宋" w:eastAsia="仿宋" w:cs="Times New Roman"/>
          <w:color w:val="auto"/>
          <w:kern w:val="2"/>
          <w:sz w:val="28"/>
          <w:szCs w:val="28"/>
        </w:rPr>
        <w:t>年</w:t>
      </w:r>
      <w:r>
        <w:rPr>
          <w:rFonts w:hint="eastAsia" w:ascii="仿宋" w:hAnsi="仿宋" w:eastAsia="仿宋" w:cs="Times New Roman"/>
          <w:color w:val="auto"/>
          <w:kern w:val="2"/>
          <w:sz w:val="28"/>
          <w:szCs w:val="28"/>
          <w:lang w:val="en-US" w:eastAsia="zh-CN"/>
        </w:rPr>
        <w:t>3</w:t>
      </w:r>
      <w:r>
        <w:rPr>
          <w:rFonts w:hint="eastAsia" w:ascii="仿宋" w:hAnsi="仿宋" w:eastAsia="仿宋" w:cs="Times New Roman"/>
          <w:color w:val="auto"/>
          <w:kern w:val="2"/>
          <w:sz w:val="28"/>
          <w:szCs w:val="28"/>
        </w:rPr>
        <w:t>月</w:t>
      </w:r>
      <w:r>
        <w:rPr>
          <w:rFonts w:hint="eastAsia" w:ascii="仿宋" w:hAnsi="仿宋" w:eastAsia="仿宋" w:cs="Times New Roman"/>
          <w:color w:val="auto"/>
          <w:kern w:val="2"/>
          <w:sz w:val="28"/>
          <w:szCs w:val="28"/>
          <w:lang w:val="en-US" w:eastAsia="zh-CN"/>
        </w:rPr>
        <w:t>9</w:t>
      </w:r>
      <w:bookmarkStart w:id="0" w:name="_GoBack"/>
      <w:bookmarkEnd w:id="0"/>
      <w:r>
        <w:rPr>
          <w:rFonts w:hint="eastAsia" w:ascii="仿宋" w:hAnsi="仿宋" w:eastAsia="仿宋" w:cs="Times New Roman"/>
          <w:color w:val="auto"/>
          <w:kern w:val="2"/>
          <w:sz w:val="28"/>
          <w:szCs w:val="28"/>
        </w:rPr>
        <w:t>日</w:t>
      </w:r>
    </w:p>
    <w:p>
      <w:pPr>
        <w:adjustRightInd w:val="0"/>
        <w:snapToGrid w:val="0"/>
        <w:spacing w:beforeLines="50" w:line="360" w:lineRule="exact"/>
        <w:ind w:firstLine="3054" w:firstLineChars="845"/>
        <w:jc w:val="left"/>
        <w:rPr>
          <w:rFonts w:hint="eastAsia" w:asciiTheme="minorEastAsia" w:hAnsiTheme="minorEastAsia" w:eastAsiaTheme="minorEastAsia"/>
          <w:b/>
          <w:color w:val="auto"/>
          <w:sz w:val="36"/>
          <w:szCs w:val="36"/>
        </w:rPr>
      </w:pPr>
    </w:p>
    <w:p>
      <w:pPr>
        <w:rPr>
          <w:rFonts w:hint="eastAsia" w:asciiTheme="minorEastAsia" w:hAnsiTheme="minorEastAsia" w:eastAsiaTheme="minorEastAsia"/>
          <w:b/>
          <w:sz w:val="36"/>
          <w:szCs w:val="36"/>
        </w:rPr>
      </w:pPr>
    </w:p>
    <w:sectPr>
      <w:headerReference r:id="rId3" w:type="default"/>
      <w:footerReference r:id="rId5" w:type="default"/>
      <w:headerReference r:id="rId4" w:type="even"/>
      <w:pgSz w:w="11906" w:h="16838"/>
      <w:pgMar w:top="1304" w:right="1758" w:bottom="1304"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4</w:t>
    </w:r>
    <w:r>
      <w:rPr>
        <w:lang w:val="zh-CN"/>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ZlM2EwNGU1NjhkZGQzNmJkODdiMmRjMDY0NmIzZjgifQ=="/>
  </w:docVars>
  <w:rsids>
    <w:rsidRoot w:val="00BA091C"/>
    <w:rsid w:val="000027FE"/>
    <w:rsid w:val="00003D88"/>
    <w:rsid w:val="00012333"/>
    <w:rsid w:val="000327BD"/>
    <w:rsid w:val="00035A42"/>
    <w:rsid w:val="00040BB5"/>
    <w:rsid w:val="00040D35"/>
    <w:rsid w:val="000561BE"/>
    <w:rsid w:val="000642F1"/>
    <w:rsid w:val="00086C62"/>
    <w:rsid w:val="00093328"/>
    <w:rsid w:val="00095D7C"/>
    <w:rsid w:val="000A2536"/>
    <w:rsid w:val="000A6977"/>
    <w:rsid w:val="000B5F16"/>
    <w:rsid w:val="000C7291"/>
    <w:rsid w:val="000D0B96"/>
    <w:rsid w:val="000D255F"/>
    <w:rsid w:val="000D25D7"/>
    <w:rsid w:val="000E3F44"/>
    <w:rsid w:val="000E7B66"/>
    <w:rsid w:val="000F27D8"/>
    <w:rsid w:val="000F3176"/>
    <w:rsid w:val="000F52CB"/>
    <w:rsid w:val="00106503"/>
    <w:rsid w:val="001212A3"/>
    <w:rsid w:val="00121E31"/>
    <w:rsid w:val="00140086"/>
    <w:rsid w:val="001443E2"/>
    <w:rsid w:val="001500A6"/>
    <w:rsid w:val="00150A9D"/>
    <w:rsid w:val="00151E78"/>
    <w:rsid w:val="001541A9"/>
    <w:rsid w:val="00157241"/>
    <w:rsid w:val="001808F9"/>
    <w:rsid w:val="00180FE4"/>
    <w:rsid w:val="001846AF"/>
    <w:rsid w:val="00184EF6"/>
    <w:rsid w:val="00197101"/>
    <w:rsid w:val="001A199D"/>
    <w:rsid w:val="001A71BC"/>
    <w:rsid w:val="001B7402"/>
    <w:rsid w:val="001E10B0"/>
    <w:rsid w:val="001E3EB2"/>
    <w:rsid w:val="001F1340"/>
    <w:rsid w:val="00203462"/>
    <w:rsid w:val="00204D7E"/>
    <w:rsid w:val="00210CDC"/>
    <w:rsid w:val="002338CB"/>
    <w:rsid w:val="00241C92"/>
    <w:rsid w:val="00251C03"/>
    <w:rsid w:val="00252C33"/>
    <w:rsid w:val="00256633"/>
    <w:rsid w:val="00262282"/>
    <w:rsid w:val="00264A40"/>
    <w:rsid w:val="00265731"/>
    <w:rsid w:val="002771EF"/>
    <w:rsid w:val="00280E48"/>
    <w:rsid w:val="002846A3"/>
    <w:rsid w:val="00285527"/>
    <w:rsid w:val="002908F5"/>
    <w:rsid w:val="00291920"/>
    <w:rsid w:val="00292322"/>
    <w:rsid w:val="002977C2"/>
    <w:rsid w:val="002A0938"/>
    <w:rsid w:val="002A5791"/>
    <w:rsid w:val="002B4A06"/>
    <w:rsid w:val="002B5851"/>
    <w:rsid w:val="002D12CF"/>
    <w:rsid w:val="002D166F"/>
    <w:rsid w:val="002D62F7"/>
    <w:rsid w:val="002D6F36"/>
    <w:rsid w:val="002E3A0B"/>
    <w:rsid w:val="002F49F4"/>
    <w:rsid w:val="00305BC4"/>
    <w:rsid w:val="00313987"/>
    <w:rsid w:val="0031618D"/>
    <w:rsid w:val="003236BB"/>
    <w:rsid w:val="0033380B"/>
    <w:rsid w:val="003445DA"/>
    <w:rsid w:val="00344EA8"/>
    <w:rsid w:val="003511C3"/>
    <w:rsid w:val="00366ED8"/>
    <w:rsid w:val="00370520"/>
    <w:rsid w:val="003711BA"/>
    <w:rsid w:val="00372066"/>
    <w:rsid w:val="00391662"/>
    <w:rsid w:val="00392583"/>
    <w:rsid w:val="00393310"/>
    <w:rsid w:val="00397CAE"/>
    <w:rsid w:val="003A07F5"/>
    <w:rsid w:val="003A1BD0"/>
    <w:rsid w:val="003A2877"/>
    <w:rsid w:val="003C1F52"/>
    <w:rsid w:val="003C6D73"/>
    <w:rsid w:val="003D391B"/>
    <w:rsid w:val="003D60FF"/>
    <w:rsid w:val="003E03C7"/>
    <w:rsid w:val="003E193B"/>
    <w:rsid w:val="003E5CF5"/>
    <w:rsid w:val="003E7A20"/>
    <w:rsid w:val="003F047F"/>
    <w:rsid w:val="003F0867"/>
    <w:rsid w:val="003F36EB"/>
    <w:rsid w:val="004001BF"/>
    <w:rsid w:val="00403EE2"/>
    <w:rsid w:val="00405A5F"/>
    <w:rsid w:val="00411B9B"/>
    <w:rsid w:val="00413C1A"/>
    <w:rsid w:val="00414FC9"/>
    <w:rsid w:val="004273D0"/>
    <w:rsid w:val="00427DED"/>
    <w:rsid w:val="00435733"/>
    <w:rsid w:val="00447E25"/>
    <w:rsid w:val="004658FA"/>
    <w:rsid w:val="00470816"/>
    <w:rsid w:val="00472D47"/>
    <w:rsid w:val="00490C2D"/>
    <w:rsid w:val="004A2067"/>
    <w:rsid w:val="004A6239"/>
    <w:rsid w:val="004C00C0"/>
    <w:rsid w:val="004D1A27"/>
    <w:rsid w:val="004D5C7B"/>
    <w:rsid w:val="004E7B70"/>
    <w:rsid w:val="005142AC"/>
    <w:rsid w:val="005224D9"/>
    <w:rsid w:val="00523789"/>
    <w:rsid w:val="00530CE2"/>
    <w:rsid w:val="00536A56"/>
    <w:rsid w:val="0054056D"/>
    <w:rsid w:val="0055277F"/>
    <w:rsid w:val="0055341E"/>
    <w:rsid w:val="00553A8D"/>
    <w:rsid w:val="00555FEB"/>
    <w:rsid w:val="005602B5"/>
    <w:rsid w:val="00560B3D"/>
    <w:rsid w:val="00577598"/>
    <w:rsid w:val="0058401D"/>
    <w:rsid w:val="00592CE3"/>
    <w:rsid w:val="005939F6"/>
    <w:rsid w:val="0059437E"/>
    <w:rsid w:val="00594D2F"/>
    <w:rsid w:val="005A2416"/>
    <w:rsid w:val="005B0416"/>
    <w:rsid w:val="005B4EC7"/>
    <w:rsid w:val="005D1B4A"/>
    <w:rsid w:val="005D5D88"/>
    <w:rsid w:val="005D63F8"/>
    <w:rsid w:val="005D7595"/>
    <w:rsid w:val="005D7F7C"/>
    <w:rsid w:val="005E5980"/>
    <w:rsid w:val="005F7A46"/>
    <w:rsid w:val="00604C8D"/>
    <w:rsid w:val="006066BB"/>
    <w:rsid w:val="006177A3"/>
    <w:rsid w:val="00620909"/>
    <w:rsid w:val="00621B0D"/>
    <w:rsid w:val="00621E4C"/>
    <w:rsid w:val="00646C1B"/>
    <w:rsid w:val="00670341"/>
    <w:rsid w:val="006711F3"/>
    <w:rsid w:val="00681794"/>
    <w:rsid w:val="00681D34"/>
    <w:rsid w:val="006912DA"/>
    <w:rsid w:val="00696EC5"/>
    <w:rsid w:val="006A33EE"/>
    <w:rsid w:val="006A6E64"/>
    <w:rsid w:val="006B5048"/>
    <w:rsid w:val="006D0317"/>
    <w:rsid w:val="006D50FA"/>
    <w:rsid w:val="006D6314"/>
    <w:rsid w:val="006D7254"/>
    <w:rsid w:val="006E24AF"/>
    <w:rsid w:val="006E39A2"/>
    <w:rsid w:val="006E58AE"/>
    <w:rsid w:val="006F75C1"/>
    <w:rsid w:val="007037E9"/>
    <w:rsid w:val="00710C81"/>
    <w:rsid w:val="00716393"/>
    <w:rsid w:val="0072078E"/>
    <w:rsid w:val="0076089D"/>
    <w:rsid w:val="00763B6F"/>
    <w:rsid w:val="00770C34"/>
    <w:rsid w:val="0077256B"/>
    <w:rsid w:val="00772B98"/>
    <w:rsid w:val="00773374"/>
    <w:rsid w:val="007A0644"/>
    <w:rsid w:val="007A2B2E"/>
    <w:rsid w:val="007A3B14"/>
    <w:rsid w:val="007B647E"/>
    <w:rsid w:val="007C4E3E"/>
    <w:rsid w:val="007D1347"/>
    <w:rsid w:val="007E73E7"/>
    <w:rsid w:val="007F0380"/>
    <w:rsid w:val="007F29AC"/>
    <w:rsid w:val="007F3AAE"/>
    <w:rsid w:val="0080121F"/>
    <w:rsid w:val="0080154E"/>
    <w:rsid w:val="00804476"/>
    <w:rsid w:val="00814FCC"/>
    <w:rsid w:val="00822E52"/>
    <w:rsid w:val="00823F57"/>
    <w:rsid w:val="00845842"/>
    <w:rsid w:val="008502A4"/>
    <w:rsid w:val="00860575"/>
    <w:rsid w:val="008615E5"/>
    <w:rsid w:val="0086546F"/>
    <w:rsid w:val="00867079"/>
    <w:rsid w:val="0087187F"/>
    <w:rsid w:val="008862E7"/>
    <w:rsid w:val="008962A1"/>
    <w:rsid w:val="008A0B11"/>
    <w:rsid w:val="008B02EE"/>
    <w:rsid w:val="008C4050"/>
    <w:rsid w:val="008C756E"/>
    <w:rsid w:val="008D1F64"/>
    <w:rsid w:val="008F41C1"/>
    <w:rsid w:val="00911172"/>
    <w:rsid w:val="009176F2"/>
    <w:rsid w:val="009240BB"/>
    <w:rsid w:val="009259F5"/>
    <w:rsid w:val="0094046F"/>
    <w:rsid w:val="00942EEA"/>
    <w:rsid w:val="00952403"/>
    <w:rsid w:val="00954F12"/>
    <w:rsid w:val="009576CA"/>
    <w:rsid w:val="00970B19"/>
    <w:rsid w:val="0097180D"/>
    <w:rsid w:val="00992C8A"/>
    <w:rsid w:val="00992FB0"/>
    <w:rsid w:val="009A61B8"/>
    <w:rsid w:val="009A77C3"/>
    <w:rsid w:val="009B08D9"/>
    <w:rsid w:val="009C0AE4"/>
    <w:rsid w:val="009C1D49"/>
    <w:rsid w:val="009C509E"/>
    <w:rsid w:val="009D2BD7"/>
    <w:rsid w:val="009E1C5A"/>
    <w:rsid w:val="009E6316"/>
    <w:rsid w:val="009F58EC"/>
    <w:rsid w:val="00A13E3F"/>
    <w:rsid w:val="00A20EA7"/>
    <w:rsid w:val="00A278A9"/>
    <w:rsid w:val="00A30E38"/>
    <w:rsid w:val="00A317C9"/>
    <w:rsid w:val="00A34C9C"/>
    <w:rsid w:val="00A40AB8"/>
    <w:rsid w:val="00A43B1A"/>
    <w:rsid w:val="00A44DE3"/>
    <w:rsid w:val="00A5303B"/>
    <w:rsid w:val="00A54925"/>
    <w:rsid w:val="00A5533E"/>
    <w:rsid w:val="00A70979"/>
    <w:rsid w:val="00A71E6A"/>
    <w:rsid w:val="00A76596"/>
    <w:rsid w:val="00A91E84"/>
    <w:rsid w:val="00A92477"/>
    <w:rsid w:val="00A94FF3"/>
    <w:rsid w:val="00AA26A3"/>
    <w:rsid w:val="00AA7F78"/>
    <w:rsid w:val="00AC243C"/>
    <w:rsid w:val="00AC44A2"/>
    <w:rsid w:val="00AC6CCC"/>
    <w:rsid w:val="00AD1A64"/>
    <w:rsid w:val="00AD1F78"/>
    <w:rsid w:val="00AE7B1E"/>
    <w:rsid w:val="00AF5993"/>
    <w:rsid w:val="00B006FE"/>
    <w:rsid w:val="00B312B7"/>
    <w:rsid w:val="00B34753"/>
    <w:rsid w:val="00B36FCF"/>
    <w:rsid w:val="00B46519"/>
    <w:rsid w:val="00B523F9"/>
    <w:rsid w:val="00B6265B"/>
    <w:rsid w:val="00B66DC8"/>
    <w:rsid w:val="00B70447"/>
    <w:rsid w:val="00B7576E"/>
    <w:rsid w:val="00B80086"/>
    <w:rsid w:val="00B82A03"/>
    <w:rsid w:val="00B82E62"/>
    <w:rsid w:val="00B835E7"/>
    <w:rsid w:val="00B84C26"/>
    <w:rsid w:val="00B95BEB"/>
    <w:rsid w:val="00B96284"/>
    <w:rsid w:val="00B97B67"/>
    <w:rsid w:val="00BA091C"/>
    <w:rsid w:val="00BA2E78"/>
    <w:rsid w:val="00BA607E"/>
    <w:rsid w:val="00BB029A"/>
    <w:rsid w:val="00BB13EA"/>
    <w:rsid w:val="00BB2115"/>
    <w:rsid w:val="00BB2D52"/>
    <w:rsid w:val="00BB4D09"/>
    <w:rsid w:val="00BB6D8E"/>
    <w:rsid w:val="00BD1E89"/>
    <w:rsid w:val="00BD7A07"/>
    <w:rsid w:val="00BE136C"/>
    <w:rsid w:val="00BE2BE8"/>
    <w:rsid w:val="00BF17EC"/>
    <w:rsid w:val="00BF77AC"/>
    <w:rsid w:val="00C00891"/>
    <w:rsid w:val="00C024FF"/>
    <w:rsid w:val="00C063A2"/>
    <w:rsid w:val="00C06854"/>
    <w:rsid w:val="00C144CF"/>
    <w:rsid w:val="00C23EA1"/>
    <w:rsid w:val="00C2500E"/>
    <w:rsid w:val="00C34ACC"/>
    <w:rsid w:val="00C351B4"/>
    <w:rsid w:val="00C37D78"/>
    <w:rsid w:val="00C42351"/>
    <w:rsid w:val="00C4448A"/>
    <w:rsid w:val="00C44BB0"/>
    <w:rsid w:val="00C47F71"/>
    <w:rsid w:val="00C51897"/>
    <w:rsid w:val="00C5273E"/>
    <w:rsid w:val="00C670F1"/>
    <w:rsid w:val="00C80DBB"/>
    <w:rsid w:val="00C95476"/>
    <w:rsid w:val="00C95D95"/>
    <w:rsid w:val="00CA1586"/>
    <w:rsid w:val="00CA18CD"/>
    <w:rsid w:val="00CA3163"/>
    <w:rsid w:val="00CA4369"/>
    <w:rsid w:val="00CB27FC"/>
    <w:rsid w:val="00CB38DE"/>
    <w:rsid w:val="00CB5B09"/>
    <w:rsid w:val="00CC3E5F"/>
    <w:rsid w:val="00CD1217"/>
    <w:rsid w:val="00CE5D56"/>
    <w:rsid w:val="00CF5742"/>
    <w:rsid w:val="00CF7EF5"/>
    <w:rsid w:val="00D02211"/>
    <w:rsid w:val="00D07865"/>
    <w:rsid w:val="00D229B8"/>
    <w:rsid w:val="00D27CDA"/>
    <w:rsid w:val="00D27D01"/>
    <w:rsid w:val="00D32908"/>
    <w:rsid w:val="00D44B6A"/>
    <w:rsid w:val="00D4536F"/>
    <w:rsid w:val="00D65072"/>
    <w:rsid w:val="00D84457"/>
    <w:rsid w:val="00D844EC"/>
    <w:rsid w:val="00D938DC"/>
    <w:rsid w:val="00DA5548"/>
    <w:rsid w:val="00DA7B63"/>
    <w:rsid w:val="00DB09AF"/>
    <w:rsid w:val="00DB0AB3"/>
    <w:rsid w:val="00DB5612"/>
    <w:rsid w:val="00DC7557"/>
    <w:rsid w:val="00DD13A5"/>
    <w:rsid w:val="00DE20BA"/>
    <w:rsid w:val="00DE4281"/>
    <w:rsid w:val="00DF0430"/>
    <w:rsid w:val="00DF4852"/>
    <w:rsid w:val="00DF596F"/>
    <w:rsid w:val="00E0087A"/>
    <w:rsid w:val="00E11526"/>
    <w:rsid w:val="00E1531F"/>
    <w:rsid w:val="00E306E2"/>
    <w:rsid w:val="00E32A47"/>
    <w:rsid w:val="00E50D54"/>
    <w:rsid w:val="00E550FD"/>
    <w:rsid w:val="00E64042"/>
    <w:rsid w:val="00E66B17"/>
    <w:rsid w:val="00E679EC"/>
    <w:rsid w:val="00E74450"/>
    <w:rsid w:val="00E81733"/>
    <w:rsid w:val="00E853A1"/>
    <w:rsid w:val="00E86637"/>
    <w:rsid w:val="00E904C9"/>
    <w:rsid w:val="00EB3A96"/>
    <w:rsid w:val="00EC0488"/>
    <w:rsid w:val="00EC0B7A"/>
    <w:rsid w:val="00ED5109"/>
    <w:rsid w:val="00ED6B68"/>
    <w:rsid w:val="00EE25F0"/>
    <w:rsid w:val="00EE7F7E"/>
    <w:rsid w:val="00F02AC3"/>
    <w:rsid w:val="00F03C04"/>
    <w:rsid w:val="00F12758"/>
    <w:rsid w:val="00F1736E"/>
    <w:rsid w:val="00F23C30"/>
    <w:rsid w:val="00F2558E"/>
    <w:rsid w:val="00F271B7"/>
    <w:rsid w:val="00F30BBD"/>
    <w:rsid w:val="00F34058"/>
    <w:rsid w:val="00F350D7"/>
    <w:rsid w:val="00F36556"/>
    <w:rsid w:val="00F464AD"/>
    <w:rsid w:val="00F550D8"/>
    <w:rsid w:val="00F6070F"/>
    <w:rsid w:val="00F6076E"/>
    <w:rsid w:val="00F63C98"/>
    <w:rsid w:val="00F8344E"/>
    <w:rsid w:val="00F84829"/>
    <w:rsid w:val="00F936C6"/>
    <w:rsid w:val="00F944E9"/>
    <w:rsid w:val="00FA2528"/>
    <w:rsid w:val="00FA512C"/>
    <w:rsid w:val="00FA5B7E"/>
    <w:rsid w:val="00FB2B63"/>
    <w:rsid w:val="00FD3D00"/>
    <w:rsid w:val="00FD3D2D"/>
    <w:rsid w:val="00FD7993"/>
    <w:rsid w:val="00FE49A4"/>
    <w:rsid w:val="00FF1060"/>
    <w:rsid w:val="00FF2B7D"/>
    <w:rsid w:val="00FF782B"/>
    <w:rsid w:val="030121DE"/>
    <w:rsid w:val="05780A0D"/>
    <w:rsid w:val="081D4C43"/>
    <w:rsid w:val="08A07D2A"/>
    <w:rsid w:val="09AB2883"/>
    <w:rsid w:val="09FC6C3A"/>
    <w:rsid w:val="0B1F7084"/>
    <w:rsid w:val="0C7C4062"/>
    <w:rsid w:val="0C825AAF"/>
    <w:rsid w:val="0CF14659"/>
    <w:rsid w:val="0DE14AC5"/>
    <w:rsid w:val="0FC407B9"/>
    <w:rsid w:val="10E0103E"/>
    <w:rsid w:val="11160F29"/>
    <w:rsid w:val="15086DDB"/>
    <w:rsid w:val="15496CAE"/>
    <w:rsid w:val="154D0C92"/>
    <w:rsid w:val="15CA22E2"/>
    <w:rsid w:val="15F07F9B"/>
    <w:rsid w:val="173043C7"/>
    <w:rsid w:val="17AE3C6A"/>
    <w:rsid w:val="17BD20FF"/>
    <w:rsid w:val="17D207EA"/>
    <w:rsid w:val="1D193788"/>
    <w:rsid w:val="1DC32A18"/>
    <w:rsid w:val="1EC36495"/>
    <w:rsid w:val="1F2F13E6"/>
    <w:rsid w:val="1F8150BA"/>
    <w:rsid w:val="1FA7393F"/>
    <w:rsid w:val="20D65A2D"/>
    <w:rsid w:val="21222BC2"/>
    <w:rsid w:val="213276BA"/>
    <w:rsid w:val="23D62259"/>
    <w:rsid w:val="276A3393"/>
    <w:rsid w:val="2B974D4B"/>
    <w:rsid w:val="2D4A18E7"/>
    <w:rsid w:val="2DEA6C50"/>
    <w:rsid w:val="2E1E6616"/>
    <w:rsid w:val="2E5332E2"/>
    <w:rsid w:val="32127833"/>
    <w:rsid w:val="329267BE"/>
    <w:rsid w:val="330B38C7"/>
    <w:rsid w:val="33B1346B"/>
    <w:rsid w:val="38BB18EB"/>
    <w:rsid w:val="39184F8F"/>
    <w:rsid w:val="39A45F0C"/>
    <w:rsid w:val="3AB605BC"/>
    <w:rsid w:val="3BDD7DCA"/>
    <w:rsid w:val="3CB94393"/>
    <w:rsid w:val="3F252B3B"/>
    <w:rsid w:val="40AA6712"/>
    <w:rsid w:val="41943621"/>
    <w:rsid w:val="479A05B4"/>
    <w:rsid w:val="48643D4D"/>
    <w:rsid w:val="48743864"/>
    <w:rsid w:val="493D634C"/>
    <w:rsid w:val="49497AF1"/>
    <w:rsid w:val="4A38723F"/>
    <w:rsid w:val="4A6611C3"/>
    <w:rsid w:val="4B6D5370"/>
    <w:rsid w:val="4B954487"/>
    <w:rsid w:val="4BFA0BB0"/>
    <w:rsid w:val="4C38106A"/>
    <w:rsid w:val="4CFF2296"/>
    <w:rsid w:val="4D057181"/>
    <w:rsid w:val="4F42646A"/>
    <w:rsid w:val="50431845"/>
    <w:rsid w:val="507C1E50"/>
    <w:rsid w:val="53A616BE"/>
    <w:rsid w:val="546F63CD"/>
    <w:rsid w:val="59735744"/>
    <w:rsid w:val="5A6E5C8E"/>
    <w:rsid w:val="5B0311A3"/>
    <w:rsid w:val="5C172679"/>
    <w:rsid w:val="5C1E0A2E"/>
    <w:rsid w:val="5EA26F25"/>
    <w:rsid w:val="5EE923E7"/>
    <w:rsid w:val="5F143E58"/>
    <w:rsid w:val="5F1A2F60"/>
    <w:rsid w:val="60237BF2"/>
    <w:rsid w:val="60823BE5"/>
    <w:rsid w:val="60C018E5"/>
    <w:rsid w:val="6146739F"/>
    <w:rsid w:val="61F50F85"/>
    <w:rsid w:val="63D77671"/>
    <w:rsid w:val="65037776"/>
    <w:rsid w:val="662A4128"/>
    <w:rsid w:val="67850699"/>
    <w:rsid w:val="67FD51CC"/>
    <w:rsid w:val="6AF428B7"/>
    <w:rsid w:val="6B8F25DF"/>
    <w:rsid w:val="6D0524D7"/>
    <w:rsid w:val="6D1D5C5F"/>
    <w:rsid w:val="6E791BA6"/>
    <w:rsid w:val="6EAB21E6"/>
    <w:rsid w:val="749C038F"/>
    <w:rsid w:val="76322757"/>
    <w:rsid w:val="77F40926"/>
    <w:rsid w:val="791F31F5"/>
    <w:rsid w:val="79E237BD"/>
    <w:rsid w:val="7B971768"/>
    <w:rsid w:val="7CC77022"/>
    <w:rsid w:val="7EBC60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qFormat/>
    <w:uiPriority w:val="99"/>
    <w:pPr>
      <w:spacing w:line="520" w:lineRule="exact"/>
      <w:ind w:firstLine="600" w:firstLineChars="200"/>
    </w:pPr>
    <w:rPr>
      <w:rFonts w:ascii="仿宋_GB2312" w:hAnsi="Times New Roman" w:eastAsia="仿宋_GB2312"/>
      <w:kern w:val="0"/>
      <w:sz w:val="30"/>
      <w:szCs w:val="30"/>
    </w:rPr>
  </w:style>
  <w:style w:type="paragraph" w:styleId="3">
    <w:name w:val="Date"/>
    <w:basedOn w:val="1"/>
    <w:next w:val="1"/>
    <w:link w:val="18"/>
    <w:semiHidden/>
    <w:unhideWhenUsed/>
    <w:qFormat/>
    <w:uiPriority w:val="99"/>
    <w:pPr>
      <w:ind w:left="100" w:leftChars="2500"/>
    </w:pPr>
  </w:style>
  <w:style w:type="paragraph" w:styleId="4">
    <w:name w:val="Body Text Indent 2"/>
    <w:basedOn w:val="1"/>
    <w:link w:val="16"/>
    <w:qFormat/>
    <w:uiPriority w:val="0"/>
    <w:pPr>
      <w:spacing w:after="120" w:line="480" w:lineRule="auto"/>
      <w:ind w:left="420" w:leftChars="200"/>
    </w:pPr>
    <w:rPr>
      <w:rFonts w:ascii="Times New Roman" w:hAnsi="Times New Roman"/>
      <w:szCs w:val="24"/>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1">
    <w:name w:val="Hyperlink"/>
    <w:basedOn w:val="10"/>
    <w:unhideWhenUsed/>
    <w:qFormat/>
    <w:uiPriority w:val="99"/>
    <w:rPr>
      <w:color w:val="0000FF"/>
      <w:u w:val="single"/>
    </w:rPr>
  </w:style>
  <w:style w:type="character" w:customStyle="1" w:styleId="12">
    <w:name w:val="正文文本缩进 Char"/>
    <w:basedOn w:val="10"/>
    <w:link w:val="2"/>
    <w:qFormat/>
    <w:uiPriority w:val="99"/>
    <w:rPr>
      <w:rFonts w:ascii="仿宋_GB2312" w:hAnsi="Times New Roman" w:eastAsia="仿宋_GB2312" w:cs="Times New Roman"/>
      <w:kern w:val="0"/>
      <w:sz w:val="30"/>
      <w:szCs w:val="30"/>
    </w:rPr>
  </w:style>
  <w:style w:type="character" w:customStyle="1" w:styleId="13">
    <w:name w:val="正文文本缩进 2 Char"/>
    <w:basedOn w:val="10"/>
    <w:link w:val="4"/>
    <w:semiHidden/>
    <w:qFormat/>
    <w:uiPriority w:val="99"/>
    <w:rPr>
      <w:rFonts w:ascii="Calibri" w:hAnsi="Calibri" w:eastAsia="宋体" w:cs="Times New Roman"/>
    </w:rPr>
  </w:style>
  <w:style w:type="character" w:customStyle="1" w:styleId="14">
    <w:name w:val="页脚 Char"/>
    <w:basedOn w:val="10"/>
    <w:link w:val="5"/>
    <w:qFormat/>
    <w:uiPriority w:val="99"/>
    <w:rPr>
      <w:rFonts w:ascii="Calibri" w:hAnsi="Calibri" w:eastAsia="宋体" w:cs="Times New Roman"/>
      <w:sz w:val="18"/>
      <w:szCs w:val="18"/>
    </w:rPr>
  </w:style>
  <w:style w:type="character" w:customStyle="1" w:styleId="15">
    <w:name w:val="页眉 Char"/>
    <w:basedOn w:val="10"/>
    <w:link w:val="6"/>
    <w:semiHidden/>
    <w:qFormat/>
    <w:uiPriority w:val="99"/>
    <w:rPr>
      <w:rFonts w:ascii="Calibri" w:hAnsi="Calibri" w:eastAsia="宋体" w:cs="Times New Roman"/>
      <w:sz w:val="18"/>
      <w:szCs w:val="18"/>
    </w:rPr>
  </w:style>
  <w:style w:type="character" w:customStyle="1" w:styleId="16">
    <w:name w:val="正文文本缩进 2 Char1"/>
    <w:link w:val="4"/>
    <w:qFormat/>
    <w:uiPriority w:val="0"/>
    <w:rPr>
      <w:rFonts w:ascii="Times New Roman" w:hAnsi="Times New Roman" w:eastAsia="宋体" w:cs="Times New Roman"/>
      <w:szCs w:val="24"/>
    </w:rPr>
  </w:style>
  <w:style w:type="paragraph" w:styleId="17">
    <w:name w:val="List Paragraph"/>
    <w:basedOn w:val="1"/>
    <w:qFormat/>
    <w:uiPriority w:val="34"/>
    <w:pPr>
      <w:ind w:firstLine="420" w:firstLineChars="200"/>
    </w:pPr>
  </w:style>
  <w:style w:type="character" w:customStyle="1" w:styleId="18">
    <w:name w:val="日期 Char"/>
    <w:basedOn w:val="10"/>
    <w:link w:val="3"/>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6F737-52A2-4B2F-A0AC-64F62C92AFD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6</Pages>
  <Words>3821</Words>
  <Characters>3983</Characters>
  <Lines>41</Lines>
  <Paragraphs>11</Paragraphs>
  <TotalTime>3</TotalTime>
  <ScaleCrop>false</ScaleCrop>
  <LinksUpToDate>false</LinksUpToDate>
  <CharactersWithSpaces>4007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2021-03-30T08:57:00Z</dcterms:created>
  <dc:creator>admin</dc:creator>
  <cp:lastModifiedBy>Administrator</cp:lastModifiedBy>
  <cp:lastPrinted>2023-03-06T07:21:00Z</cp:lastPrinted>
  <dcterms:modified xsi:type="dcterms:W3CDTF">2023-03-09T07:18:55Z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C4C5097289434AD4ADD15BECD095A085</vt:lpwstr>
  </property>
</Properties>
</file>