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44"/>
          <w:sz w:val="52"/>
        </w:rPr>
      </w:pPr>
      <w:bookmarkStart w:id="0" w:name="OLE_LINK2"/>
    </w:p>
    <w:p>
      <w:pPr>
        <w:jc w:val="center"/>
        <w:rPr>
          <w:b/>
          <w:bCs/>
          <w:spacing w:val="44"/>
          <w:sz w:val="52"/>
          <w:szCs w:val="52"/>
        </w:rPr>
      </w:pPr>
    </w:p>
    <w:p>
      <w:pPr>
        <w:jc w:val="center"/>
        <w:rPr>
          <w:b/>
          <w:bCs/>
          <w:spacing w:val="44"/>
          <w:sz w:val="52"/>
          <w:szCs w:val="52"/>
        </w:rPr>
      </w:pPr>
      <w:r>
        <w:rPr>
          <w:rFonts w:hint="eastAsia"/>
          <w:b/>
          <w:bCs/>
          <w:spacing w:val="44"/>
          <w:sz w:val="52"/>
          <w:szCs w:val="52"/>
        </w:rPr>
        <w:t xml:space="preserve"> 新昌县市场监督管理局</w:t>
      </w:r>
    </w:p>
    <w:p>
      <w:pPr>
        <w:jc w:val="center"/>
        <w:rPr>
          <w:sz w:val="72"/>
          <w:szCs w:val="72"/>
        </w:rPr>
      </w:pPr>
      <w:r>
        <w:rPr>
          <w:b/>
          <w:bCs/>
          <w:spacing w:val="134"/>
          <w:sz w:val="44"/>
          <w:szCs w:val="44"/>
        </w:rPr>
        <w:t xml:space="preserve"> </w:t>
      </w:r>
      <w:r>
        <w:rPr>
          <w:rFonts w:hint="eastAsia"/>
          <w:b/>
          <w:bCs/>
          <w:spacing w:val="134"/>
          <w:sz w:val="72"/>
          <w:szCs w:val="72"/>
        </w:rPr>
        <w:t>行政处罚决定书</w:t>
      </w:r>
    </w:p>
    <w:p>
      <w:pPr>
        <w:tabs>
          <w:tab w:val="left" w:pos="2295"/>
        </w:tabs>
        <w:rPr>
          <w:sz w:val="32"/>
          <w:szCs w:val="32"/>
        </w:rPr>
      </w:pPr>
      <w:r>
        <w:rPr>
          <w:sz w:val="32"/>
          <w:szCs w:val="32"/>
        </w:rPr>
        <w:tab/>
      </w:r>
    </w:p>
    <w:p>
      <w:pPr>
        <w:tabs>
          <w:tab w:val="left" w:pos="2295"/>
        </w:tabs>
        <w:ind w:firstLine="2380" w:firstLineChars="850"/>
        <w:rPr>
          <w:rFonts w:asciiTheme="minorEastAsia" w:hAnsiTheme="minorEastAsia" w:eastAsiaTheme="minorEastAsia"/>
          <w:sz w:val="28"/>
          <w:szCs w:val="28"/>
        </w:rPr>
      </w:pPr>
      <w:r>
        <w:rPr>
          <w:rFonts w:hint="eastAsia" w:asciiTheme="minorEastAsia" w:hAnsiTheme="minorEastAsia" w:eastAsiaTheme="minorEastAsia"/>
          <w:sz w:val="28"/>
          <w:szCs w:val="28"/>
        </w:rPr>
        <w:t>新市监案字〔</w:t>
      </w:r>
      <w:r>
        <w:rPr>
          <w:rFonts w:asciiTheme="minorEastAsia" w:hAnsiTheme="minorEastAsia" w:eastAsiaTheme="minorEastAsia"/>
          <w:sz w:val="28"/>
          <w:szCs w:val="28"/>
        </w:rPr>
        <w:t>20</w:t>
      </w:r>
      <w:r>
        <w:rPr>
          <w:rFonts w:hint="eastAsia" w:asciiTheme="minorEastAsia" w:hAnsiTheme="minorEastAsia" w:eastAsiaTheme="minorEastAsia"/>
          <w:sz w:val="28"/>
          <w:szCs w:val="28"/>
        </w:rPr>
        <w:t>20〕90号</w:t>
      </w:r>
    </w:p>
    <w:p>
      <w:pPr>
        <w:jc w:val="center"/>
        <w:rPr>
          <w:rFonts w:ascii="宋体" w:hAnsi="宋体"/>
          <w:sz w:val="28"/>
          <w:szCs w:val="28"/>
        </w:rPr>
      </w:pPr>
      <w:r>
        <w:pict>
          <v:line id="_x0000_s1027" o:spid="_x0000_s1027" o:spt="20" style="position:absolute;left:0pt;margin-left:4.95pt;margin-top:7.95pt;height:0pt;width:414pt;z-index:251661312;mso-width-relative:page;mso-height-relative:page;" coordsize="21600,21600" o:gfxdata="UEsDBAoAAAAAAIdO4kAAAAAAAAAAAAAAAAAEAAAAZHJzL1BLAwQUAAAACACHTuJAnqs5jNQAAAAH&#10;AQAADwAAAGRycy9kb3ducmV2LnhtbE2OzU7DQAyE70i8w8pIXBDdhN8mZFMJJK4ISqte3cRNou56&#10;0+w2bXl6jDjAyfbMaPwVs6OzaqQhdJ4NpJMEFHHl644bA4vP1+spqBCRa7SeycCJAszK87MC89of&#10;+IPGeWyUlHDI0UAbY59rHaqWHIaJ74nF2/jBYZRzaHQ94EHKndU3SfKgHXYsH1rs6aWlajvfOwPb&#10;+J5tFhZPIf16G+/Ccvd8tdoZc3mRJk+gIh3jXxh+8AUdSmFa+z3XQVkDWSZBke9lij29fZRl/Svo&#10;stD/+ctvUEsDBBQAAAAIAIdO4kBik/Rk2gEAAJkDAAAOAAAAZHJzL2Uyb0RvYy54bWytU0uOEzEQ&#10;3SNxB8t70klEYNRKZxYThg2CSMABKv50W/JPLk86uQQXQGIHK5bsuQ3DMSg7mQyfDUJ4UV12lZ/r&#10;vapeXu6dZTuV0ATf8dlkypnyIkjj+46/fXP96IIzzOAl2OBVxw8K+eXq4YPlGFs1D0OwUiVGIB7b&#10;MXZ8yDm2TYNiUA5wEqLyFNQhOci0TX0jE4yE7mwzn06fNGNIMqYgFCKdro9Bvqr4WiuRX2mNKjPb&#10;caotV5uq3RbbrJbQ9gniYMSpDPiHKhwYT4+eodaQgd0k8weUMyIFDDpPRHBN0NoIVTkQm9n0Nzav&#10;B4iqciFxMJ5lwv8HK17uNokZSb17zJkHRz26ff/l27uP379+IHv7+ROjCMk0Rmwp+8pv0mmHcZMK&#10;571OrnyJDdtXaQ9nadU+M0GHi/ni6cWUOiDuYs39xZgwP1fBseJ03BpfWEMLuxeY6TFKvUspx9az&#10;seNzWgvCA5oabSGT6yLxQN/XyxiskdfG2nIFU7+9sontoMxBXYUTAf+SVl5ZAw7HvBo6TsigQD7z&#10;kuVDJIE8jTIvNTglObOKJr94BAhtBmP/JpOetp4qKLIehSzeNsgD9eMmJtMPJMWsVlki1P9a72lW&#10;y4D9vK9I93/U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qzmM1AAAAAcBAAAPAAAAAAAAAAEA&#10;IAAAACIAAABkcnMvZG93bnJldi54bWxQSwECFAAUAAAACACHTuJAYpP0ZNoBAACZAwAADgAAAAAA&#10;AAABACAAAAAjAQAAZHJzL2Uyb0RvYy54bWxQSwUGAAAAAAYABgBZAQAAbwUAAAAA&#10;">
            <v:path arrowok="t"/>
            <v:fill focussize="0,0"/>
            <v:stroke weight="1.75pt"/>
            <v:imagedata o:title=""/>
            <o:lock v:ext="edit"/>
          </v:line>
        </w:pict>
      </w:r>
      <w:r>
        <w:pict>
          <v:line id="_x0000_s1026" o:spid="_x0000_s1026" o:spt="20" style="position:absolute;left:0pt;flip:y;margin-left:0pt;margin-top:7.8pt;height:0.15pt;width:441pt;z-index:251660288;mso-width-relative:page;mso-height-relative:page;" coordsize="21600,21600" o:gfxdata="UEsDBAoAAAAAAIdO4kAAAAAAAAAAAAAAAAAEAAAAZHJzL1BLAwQUAAAACACHTuJA+XhlTNMAAAAG&#10;AQAADwAAAGRycy9kb3ducmV2LnhtbE2PzWrDMBCE74W+g9hCLyGREkhwXMs5FBoopIf8PMDG2thu&#10;rZWxlJ++fTen9Lgzy8w3xermO3WhIbaBLUwnBhRxFVzLtYXD/mOcgYoJ2WEXmCz8UoRV+fxUYO7C&#10;lbd02aVaSQjHHC00KfW51rFqyGOchJ5YvFMYPCY5h1q7Aa8S7js9M2ahPbYsDQ329N5Q9bM7ewtx&#10;xJuv7UZK90Qn8z3q12v/ae3ry9S8gUp0S49nuOMLOpTCdAxndlF1FmRIEnW+ACVuls1EON6FJeiy&#10;0P/xyz9QSwMEFAAAAAgAh07iQLQeEEDgAQAApgMAAA4AAABkcnMvZTJvRG9jLnhtbK1TS44TMRDd&#10;I3EHy3vSnUEzQCudWUwYNggi8dlX/Elb8k8uTzq5BBdAYgcrluy5DcMxKLtD+G0Qohcl2/X8ut6r&#10;8uJy7yzbqYQm+J7PZy1nyosgjd/2/NXL63sPOcMMXoINXvX8oJBfLu/eWYyxU2dhCFaqxIjEYzfG&#10;ng85x65pUAzKAc5CVJ6SOiQHmbZp28gEI7E725y17UUzhiRjCkIh0ulqSvJl5ddaifxca1SZ2Z5T&#10;bbnGVOOmxGa5gG6bIA5GHMuAf6jCgfH00xPVCjKwm2T+oHJGpIBB55kIrglaG6GqBlIzb39T82KA&#10;qKoWMgfjySb8f7Ti2W6dmJHUu/uceXDUo9u3n768ef/18zuKtx8/MMqQTWPEjtBXfp2OO4zrVDTv&#10;dXJMWxNfE0t1gXSxfTX5cDJZ7TMTdHh+0bYPWuqFoNz8UXteyJuJpbDFhPmJCo6VRc+t8cUC6GD3&#10;FPME/Q4px9azceIplEAjpC1kWrpIotBv62UM1shrY225gmm7ubKJ7aAMRf2ONfwCK39ZAQ4TrqYK&#10;DLpBgXzsJcuHSG55mmteanBKcmYVPYOyqsgMxv4NkuRbTy4UjydXy2oT5IGacxOT2Q5kxbxWWTI0&#10;DNWz4+CWaft5X5l+PK/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l4ZUzTAAAABgEAAA8AAAAA&#10;AAAAAQAgAAAAIgAAAGRycy9kb3ducmV2LnhtbFBLAQIUABQAAAAIAIdO4kC0HhBA4AEAAKYDAAAO&#10;AAAAAAAAAAEAIAAAACIBAABkcnMvZTJvRG9jLnhtbFBLBQYAAAAABgAGAFkBAAB0BQAAAAA=&#10;">
            <v:path arrowok="t"/>
            <v:fill focussize="0,0"/>
            <v:stroke weight="1.5pt"/>
            <v:imagedata o:title=""/>
            <o:lock v:ext="edit"/>
          </v:line>
        </w:pict>
      </w:r>
      <w:bookmarkStart w:id="1" w:name="aydjnr"/>
    </w:p>
    <w:bookmarkEnd w:id="0"/>
    <w:bookmarkEnd w:id="1"/>
    <w:p>
      <w:pPr>
        <w:spacing w:line="240" w:lineRule="auto"/>
        <w:ind w:firstLine="560" w:firstLineChars="200"/>
        <w:rPr>
          <w:rFonts w:ascii="宋体" w:hAnsi="宋体"/>
          <w:color w:val="FFFFFF"/>
          <w:sz w:val="28"/>
          <w:szCs w:val="28"/>
        </w:rPr>
      </w:pPr>
      <w:r>
        <w:rPr>
          <w:rFonts w:hint="eastAsia" w:ascii="宋体" w:hAnsi="宋体"/>
          <w:sz w:val="28"/>
          <w:szCs w:val="28"/>
        </w:rPr>
        <w:t>当事人：</w:t>
      </w:r>
      <w:r>
        <w:rPr>
          <w:rFonts w:hint="eastAsia" w:ascii="宋体" w:hAnsi="宋体" w:cs="宋体"/>
          <w:color w:val="000000"/>
          <w:sz w:val="28"/>
          <w:szCs w:val="28"/>
        </w:rPr>
        <w:t>新昌县丰成农产品专业合作社等27家农民专业合作社</w:t>
      </w:r>
      <w:r>
        <w:rPr>
          <w:rFonts w:hint="eastAsia" w:ascii="宋体" w:hAnsi="宋体"/>
          <w:color w:val="000000"/>
          <w:kern w:val="2"/>
          <w:sz w:val="28"/>
          <w:szCs w:val="28"/>
        </w:rPr>
        <w:t>（名单附后）</w:t>
      </w:r>
      <w:r>
        <w:rPr>
          <w:rFonts w:hint="eastAsia" w:ascii="宋体" w:hAnsi="宋体"/>
          <w:sz w:val="28"/>
          <w:szCs w:val="28"/>
        </w:rPr>
        <w:t xml:space="preserve"> </w:t>
      </w:r>
    </w:p>
    <w:p>
      <w:pPr>
        <w:spacing w:line="240" w:lineRule="auto"/>
        <w:ind w:firstLine="560" w:firstLineChars="200"/>
        <w:rPr>
          <w:rFonts w:ascii="宋体" w:hAnsi="宋体"/>
          <w:sz w:val="28"/>
          <w:szCs w:val="28"/>
        </w:rPr>
      </w:pPr>
      <w:r>
        <w:rPr>
          <w:rFonts w:hint="eastAsia" w:ascii="宋体" w:hAnsi="宋体"/>
          <w:sz w:val="28"/>
          <w:szCs w:val="28"/>
        </w:rPr>
        <w:t>2019年12月2日，本局执法人员</w:t>
      </w:r>
      <w:r>
        <w:rPr>
          <w:rFonts w:hint="eastAsia" w:ascii="宋体" w:hAnsi="宋体"/>
          <w:bCs/>
          <w:sz w:val="28"/>
          <w:szCs w:val="28"/>
        </w:rPr>
        <w:t>在浙江省企业信用综合监管警示系统中查询发现</w:t>
      </w:r>
      <w:r>
        <w:rPr>
          <w:rFonts w:hint="eastAsia" w:ascii="宋体" w:hAnsi="宋体" w:cs="宋体"/>
          <w:color w:val="000000"/>
          <w:sz w:val="28"/>
          <w:szCs w:val="28"/>
        </w:rPr>
        <w:t>新昌县丰成农产品专业合作社</w:t>
      </w:r>
      <w:r>
        <w:rPr>
          <w:rFonts w:hint="eastAsia" w:ascii="宋体" w:hAnsi="宋体"/>
          <w:color w:val="000000"/>
          <w:sz w:val="28"/>
          <w:szCs w:val="28"/>
        </w:rPr>
        <w:t>等36家在册农民专业合作社已</w:t>
      </w:r>
      <w:r>
        <w:rPr>
          <w:rFonts w:hint="eastAsia" w:ascii="宋体" w:hAnsi="宋体"/>
          <w:sz w:val="28"/>
          <w:szCs w:val="28"/>
        </w:rPr>
        <w:t>连续两年未按规定报送年度报告，</w:t>
      </w:r>
      <w:r>
        <w:rPr>
          <w:rFonts w:ascii="宋体" w:hAnsi="宋体"/>
          <w:sz w:val="28"/>
          <w:szCs w:val="28"/>
        </w:rPr>
        <w:t>其行为涉嫌“连续两年未从事经营活动”</w:t>
      </w:r>
      <w:r>
        <w:rPr>
          <w:rFonts w:hint="eastAsia" w:ascii="宋体" w:hAnsi="宋体"/>
          <w:sz w:val="28"/>
          <w:szCs w:val="28"/>
        </w:rPr>
        <w:t>。为进一步查清事实，本案于2019年12月2日报局领导批准予以立案调查。</w:t>
      </w:r>
    </w:p>
    <w:p>
      <w:pPr>
        <w:pStyle w:val="4"/>
        <w:spacing w:before="0" w:beforeAutospacing="0" w:after="0" w:afterAutospacing="0"/>
        <w:ind w:firstLine="588" w:firstLineChars="210"/>
        <w:rPr>
          <w:rFonts w:cs="Arial"/>
          <w:sz w:val="28"/>
          <w:szCs w:val="28"/>
        </w:rPr>
      </w:pPr>
      <w:r>
        <w:rPr>
          <w:rFonts w:hint="eastAsia"/>
          <w:sz w:val="28"/>
          <w:szCs w:val="28"/>
        </w:rPr>
        <w:t>经查明：当事人均为2017年12月31日前设立登记，</w:t>
      </w:r>
      <w:r>
        <w:rPr>
          <w:rFonts w:hint="eastAsia"/>
          <w:color w:val="000000"/>
          <w:sz w:val="28"/>
          <w:szCs w:val="28"/>
        </w:rPr>
        <w:t>已</w:t>
      </w:r>
      <w:r>
        <w:rPr>
          <w:rFonts w:hint="eastAsia"/>
          <w:sz w:val="28"/>
          <w:szCs w:val="28"/>
        </w:rPr>
        <w:t>连续两年未按照《农民专业合作社年度报告公示暂行办法》的规定报送年度报告。本局于</w:t>
      </w:r>
      <w:r>
        <w:rPr>
          <w:rFonts w:hint="eastAsia" w:cs="Arial"/>
          <w:sz w:val="28"/>
          <w:szCs w:val="28"/>
        </w:rPr>
        <w:t>2019年11月6日在新昌县</w:t>
      </w:r>
      <w:r>
        <w:rPr>
          <w:rFonts w:hint="eastAsia"/>
          <w:sz w:val="28"/>
          <w:szCs w:val="28"/>
        </w:rPr>
        <w:t>政府门户网站发布《催告公告》，</w:t>
      </w:r>
      <w:r>
        <w:rPr>
          <w:rFonts w:hint="eastAsia" w:cs="Arial"/>
          <w:sz w:val="28"/>
          <w:szCs w:val="28"/>
        </w:rPr>
        <w:t>责令当事人限期补报年度报告并公示，并告知逾期将依法吊销营业执照。截止公告期满，上述当事人仍未补报年报并公示，也未申请注销登记，</w:t>
      </w:r>
      <w:r>
        <w:rPr>
          <w:sz w:val="28"/>
          <w:szCs w:val="28"/>
        </w:rPr>
        <w:t>其行为涉嫌“连续两年未从事经营活动”</w:t>
      </w:r>
      <w:r>
        <w:rPr>
          <w:rFonts w:hint="eastAsia"/>
          <w:sz w:val="28"/>
          <w:szCs w:val="28"/>
        </w:rPr>
        <w:t>。</w:t>
      </w:r>
      <w:r>
        <w:rPr>
          <w:rFonts w:hint="eastAsia" w:cs="Arial"/>
          <w:color w:val="333333"/>
          <w:sz w:val="28"/>
          <w:szCs w:val="28"/>
        </w:rPr>
        <w:t>经局领导批准，我局于2019年12月2日正式立案调查。</w:t>
      </w:r>
      <w:r>
        <w:rPr>
          <w:rFonts w:hint="eastAsia"/>
          <w:sz w:val="28"/>
          <w:szCs w:val="28"/>
        </w:rPr>
        <w:t>本局执法人员根据当事人工商登记的住所或经营场所依法进行实地核查，并将立案名单函请税务局、人力社保局协助核查，查实上述当事人在其登记的住所或经营场所已不存在，也已长期未经营，两年以上未有纳税和社保缴纳等记录。</w:t>
      </w:r>
    </w:p>
    <w:p>
      <w:pPr>
        <w:pStyle w:val="4"/>
        <w:spacing w:before="0" w:beforeAutospacing="0" w:after="0" w:afterAutospacing="0"/>
        <w:ind w:firstLine="588" w:firstLineChars="210"/>
        <w:rPr>
          <w:sz w:val="28"/>
          <w:szCs w:val="28"/>
        </w:rPr>
      </w:pPr>
      <w:r>
        <w:rPr>
          <w:rFonts w:hint="eastAsia"/>
          <w:sz w:val="28"/>
          <w:szCs w:val="28"/>
        </w:rPr>
        <w:t>以上事实，主要由下列证据证实：</w:t>
      </w:r>
    </w:p>
    <w:p>
      <w:pPr>
        <w:spacing w:line="24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证据一：《新昌县市场监督管理局催告公告》一份，证明本局</w:t>
      </w:r>
      <w:r>
        <w:rPr>
          <w:rFonts w:hint="eastAsia" w:cs="Arial" w:asciiTheme="minorEastAsia" w:hAnsiTheme="minorEastAsia" w:eastAsiaTheme="minorEastAsia"/>
          <w:sz w:val="28"/>
          <w:szCs w:val="28"/>
        </w:rPr>
        <w:t>责令当事人补报年度报告并公示，并告知逾期将依法吊销营业执照的事实。</w:t>
      </w:r>
    </w:p>
    <w:p>
      <w:pPr>
        <w:spacing w:line="240" w:lineRule="auto"/>
        <w:ind w:firstLine="560" w:firstLineChars="200"/>
        <w:rPr>
          <w:rFonts w:ascii="宋体" w:hAnsi="宋体"/>
          <w:sz w:val="28"/>
          <w:szCs w:val="28"/>
        </w:rPr>
      </w:pPr>
      <w:r>
        <w:rPr>
          <w:rFonts w:hint="eastAsia" w:ascii="宋体" w:hAnsi="宋体"/>
          <w:bCs/>
          <w:sz w:val="28"/>
          <w:szCs w:val="28"/>
        </w:rPr>
        <w:t>证据二：浙江省企业信用综合监管警示系统查询多年度未年报企业名单一份，</w:t>
      </w:r>
      <w:r>
        <w:rPr>
          <w:rFonts w:hint="eastAsia" w:ascii="宋体" w:hAnsi="宋体"/>
          <w:sz w:val="28"/>
          <w:szCs w:val="28"/>
        </w:rPr>
        <w:t>证明当事人</w:t>
      </w:r>
      <w:r>
        <w:rPr>
          <w:rFonts w:hint="eastAsia"/>
          <w:sz w:val="28"/>
          <w:szCs w:val="28"/>
        </w:rPr>
        <w:t>已连续两年未依法报送年度报告的事实。</w:t>
      </w:r>
    </w:p>
    <w:p>
      <w:pPr>
        <w:spacing w:line="240" w:lineRule="auto"/>
        <w:ind w:firstLine="560" w:firstLineChars="200"/>
        <w:rPr>
          <w:rFonts w:ascii="宋体" w:hAnsi="宋体"/>
          <w:sz w:val="28"/>
          <w:szCs w:val="28"/>
        </w:rPr>
      </w:pPr>
      <w:r>
        <w:rPr>
          <w:rFonts w:hint="eastAsia" w:ascii="宋体" w:hAnsi="宋体"/>
          <w:sz w:val="28"/>
          <w:szCs w:val="28"/>
        </w:rPr>
        <w:t>证据三：市监局对当事人</w:t>
      </w:r>
      <w:r>
        <w:rPr>
          <w:rFonts w:hint="eastAsia"/>
          <w:sz w:val="28"/>
          <w:szCs w:val="28"/>
        </w:rPr>
        <w:t>工商登记的住所或经营场所进行实地检查和调查</w:t>
      </w:r>
      <w:r>
        <w:rPr>
          <w:rFonts w:hint="eastAsia" w:ascii="宋体" w:hAnsi="宋体"/>
          <w:sz w:val="28"/>
          <w:szCs w:val="28"/>
        </w:rPr>
        <w:t>的现场检查笔录及调查笔录等，证明</w:t>
      </w:r>
      <w:r>
        <w:rPr>
          <w:rFonts w:hint="eastAsia"/>
          <w:sz w:val="28"/>
          <w:szCs w:val="28"/>
        </w:rPr>
        <w:t>当事人在登记住所已不存在、长期未从事经营活动的事实</w:t>
      </w:r>
      <w:r>
        <w:rPr>
          <w:rFonts w:hint="eastAsia" w:ascii="宋体" w:hAnsi="宋体"/>
          <w:sz w:val="28"/>
          <w:szCs w:val="28"/>
        </w:rPr>
        <w:t>。</w:t>
      </w:r>
    </w:p>
    <w:p>
      <w:pPr>
        <w:spacing w:line="24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证据四：税务部门的核查情况反馈表,证明当事人两年以上未纳税的事实。</w:t>
      </w:r>
    </w:p>
    <w:p>
      <w:pPr>
        <w:spacing w:line="24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证据五：人力社保局的核查情况反馈表，证明当事人两年以上未缴纳社会保险的事实。</w:t>
      </w:r>
    </w:p>
    <w:p>
      <w:pPr>
        <w:spacing w:line="240" w:lineRule="auto"/>
        <w:ind w:firstLine="560" w:firstLineChars="200"/>
        <w:rPr>
          <w:rFonts w:ascii="宋体" w:hAnsi="宋体"/>
          <w:sz w:val="28"/>
          <w:szCs w:val="28"/>
        </w:rPr>
      </w:pPr>
      <w:r>
        <w:rPr>
          <w:rFonts w:hint="eastAsia" w:ascii="宋体" w:hAnsi="宋体"/>
          <w:sz w:val="28"/>
          <w:szCs w:val="28"/>
        </w:rPr>
        <w:t>本局于2020年3月2日、3月3日分别在新昌县政府门户网站、国家信用信息公示系统依法发布听证告知公告，当事人在法定期限内未向本局提出陈述、申辩，也未申请听证。</w:t>
      </w:r>
    </w:p>
    <w:p>
      <w:pPr>
        <w:ind w:firstLine="560" w:firstLineChars="200"/>
        <w:rPr>
          <w:rFonts w:ascii="宋体" w:hAnsi="宋体"/>
          <w:sz w:val="28"/>
          <w:szCs w:val="28"/>
        </w:rPr>
      </w:pPr>
      <w:r>
        <w:rPr>
          <w:rFonts w:hint="eastAsia" w:ascii="宋体" w:hAnsi="宋体"/>
          <w:sz w:val="28"/>
          <w:szCs w:val="28"/>
        </w:rPr>
        <w:t>本局认为：</w:t>
      </w:r>
      <w:r>
        <w:rPr>
          <w:rFonts w:hint="eastAsia" w:cs="Arial"/>
          <w:color w:val="333333"/>
          <w:sz w:val="28"/>
          <w:szCs w:val="28"/>
        </w:rPr>
        <w:t>当事人的行为</w:t>
      </w:r>
      <w:r>
        <w:rPr>
          <w:rFonts w:ascii="宋体" w:hAnsi="宋体" w:cs="Tahoma"/>
          <w:color w:val="000000"/>
          <w:sz w:val="28"/>
          <w:szCs w:val="28"/>
        </w:rPr>
        <w:t>属于《</w:t>
      </w:r>
      <w:r>
        <w:rPr>
          <w:rFonts w:hint="eastAsia"/>
          <w:sz w:val="28"/>
          <w:szCs w:val="28"/>
        </w:rPr>
        <w:t>中华人民共和国农民专业合作社法</w:t>
      </w:r>
      <w:r>
        <w:rPr>
          <w:rFonts w:ascii="宋体" w:hAnsi="宋体" w:cs="Tahoma"/>
          <w:color w:val="000000"/>
          <w:sz w:val="28"/>
          <w:szCs w:val="28"/>
        </w:rPr>
        <w:t>》第</w:t>
      </w:r>
      <w:r>
        <w:rPr>
          <w:rFonts w:hint="eastAsia" w:ascii="宋体" w:hAnsi="宋体" w:cs="Tahoma"/>
          <w:color w:val="000000"/>
          <w:sz w:val="28"/>
          <w:szCs w:val="28"/>
        </w:rPr>
        <w:t>七十一条</w:t>
      </w:r>
      <w:r>
        <w:rPr>
          <w:rFonts w:ascii="宋体" w:hAnsi="宋体" w:cs="Tahoma"/>
          <w:color w:val="000000"/>
          <w:sz w:val="28"/>
          <w:szCs w:val="28"/>
        </w:rPr>
        <w:t>“</w:t>
      </w:r>
      <w:r>
        <w:rPr>
          <w:rFonts w:hint="eastAsia"/>
          <w:color w:val="000000"/>
          <w:sz w:val="28"/>
          <w:szCs w:val="28"/>
        </w:rPr>
        <w:t>农民专业合作社连续两年未从事经营活动的，吊销其营业执照</w:t>
      </w:r>
      <w:r>
        <w:rPr>
          <w:rFonts w:ascii="宋体" w:hAnsi="宋体" w:cs="Tahoma"/>
          <w:color w:val="000000"/>
          <w:sz w:val="28"/>
          <w:szCs w:val="28"/>
        </w:rPr>
        <w:t>”规定的情形，</w:t>
      </w:r>
      <w:r>
        <w:rPr>
          <w:rFonts w:hint="eastAsia" w:ascii="宋体" w:hAnsi="宋体"/>
          <w:sz w:val="28"/>
          <w:szCs w:val="28"/>
        </w:rPr>
        <w:t>根据</w:t>
      </w:r>
      <w:r>
        <w:rPr>
          <w:rFonts w:ascii="宋体" w:hAnsi="宋体" w:cs="Tahoma"/>
          <w:color w:val="000000"/>
          <w:sz w:val="28"/>
          <w:szCs w:val="28"/>
        </w:rPr>
        <w:t>《</w:t>
      </w:r>
      <w:r>
        <w:rPr>
          <w:rFonts w:hint="eastAsia"/>
          <w:sz w:val="28"/>
          <w:szCs w:val="28"/>
        </w:rPr>
        <w:t>中华人民共和国农民专业合作社法</w:t>
      </w:r>
      <w:r>
        <w:rPr>
          <w:rFonts w:ascii="宋体" w:hAnsi="宋体" w:cs="Tahoma"/>
          <w:color w:val="000000"/>
          <w:sz w:val="28"/>
          <w:szCs w:val="28"/>
        </w:rPr>
        <w:t>》第</w:t>
      </w:r>
      <w:r>
        <w:rPr>
          <w:rFonts w:hint="eastAsia" w:ascii="宋体" w:hAnsi="宋体" w:cs="Tahoma"/>
          <w:color w:val="000000"/>
          <w:sz w:val="28"/>
          <w:szCs w:val="28"/>
        </w:rPr>
        <w:t>七十一条之规定，</w:t>
      </w:r>
      <w:r>
        <w:rPr>
          <w:rFonts w:hint="eastAsia" w:ascii="宋体" w:hAnsi="宋体"/>
          <w:sz w:val="28"/>
          <w:szCs w:val="28"/>
        </w:rPr>
        <w:t>吊销当事人营业执照。</w:t>
      </w:r>
    </w:p>
    <w:p>
      <w:pPr>
        <w:spacing w:line="240" w:lineRule="auto"/>
        <w:ind w:firstLine="560" w:firstLineChars="200"/>
        <w:rPr>
          <w:rFonts w:ascii="宋体" w:hAnsi="宋体"/>
          <w:sz w:val="28"/>
          <w:szCs w:val="28"/>
        </w:rPr>
      </w:pPr>
      <w:r>
        <w:rPr>
          <w:rFonts w:hint="eastAsia" w:ascii="宋体" w:hAnsi="宋体"/>
          <w:sz w:val="28"/>
          <w:szCs w:val="28"/>
        </w:rPr>
        <w:t>当事人如不服本处罚决定，可在收到本处罚决定书之日起六十日内向新昌县人民政府申请行政复议；也可以在六个月内依法向新昌县人民法院提起行政诉讼。</w:t>
      </w:r>
    </w:p>
    <w:p>
      <w:pPr>
        <w:spacing w:line="240" w:lineRule="auto"/>
        <w:ind w:firstLine="560" w:firstLineChars="200"/>
        <w:rPr>
          <w:rFonts w:ascii="宋体" w:hAnsi="宋体"/>
          <w:sz w:val="28"/>
          <w:szCs w:val="28"/>
        </w:rPr>
      </w:pPr>
      <w:r>
        <w:rPr>
          <w:rFonts w:hint="eastAsia" w:ascii="宋体" w:hAnsi="宋体"/>
          <w:sz w:val="28"/>
          <w:szCs w:val="28"/>
        </w:rPr>
        <w:t>当事人对行政处罚决定不服申请行政复议或者提起行政诉讼的，行政处罚不停止执行。</w:t>
      </w:r>
    </w:p>
    <w:p>
      <w:pPr>
        <w:spacing w:line="240" w:lineRule="auto"/>
        <w:ind w:firstLine="560" w:firstLineChars="200"/>
        <w:rPr>
          <w:rFonts w:asciiTheme="minorEastAsia" w:hAnsiTheme="minorEastAsia" w:eastAsiaTheme="minorEastAsia"/>
          <w:sz w:val="28"/>
          <w:szCs w:val="28"/>
        </w:rPr>
      </w:pPr>
    </w:p>
    <w:p>
      <w:pPr>
        <w:spacing w:line="240" w:lineRule="auto"/>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新昌县市场监督管理局</w:t>
      </w:r>
    </w:p>
    <w:p>
      <w:pPr>
        <w:spacing w:line="240" w:lineRule="auto"/>
        <w:ind w:firstLine="4620" w:firstLineChars="165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2020年5月9日 </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br w:type="page"/>
      </w:r>
      <w:bookmarkStart w:id="2" w:name="_GoBack"/>
      <w:bookmarkEnd w:id="2"/>
    </w:p>
    <w:tbl>
      <w:tblPr>
        <w:tblStyle w:val="5"/>
        <w:tblpPr w:leftFromText="180" w:rightFromText="180" w:vertAnchor="text" w:horzAnchor="page" w:tblpX="1139" w:tblpY="696"/>
        <w:tblOverlap w:val="never"/>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
        <w:gridCol w:w="2430"/>
        <w:gridCol w:w="3240"/>
        <w:gridCol w:w="1005"/>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9645" w:type="dxa"/>
            <w:gridSpan w:val="5"/>
            <w:tcBorders>
              <w:top w:val="nil"/>
              <w:left w:val="nil"/>
              <w:bottom w:val="single" w:color="auto" w:sz="6" w:space="0"/>
              <w:right w:val="nil"/>
              <w:tl2br w:val="nil"/>
              <w:tr2bl w:val="nil"/>
            </w:tcBorders>
            <w:noWrap w:val="0"/>
            <w:vAlign w:val="top"/>
          </w:tcPr>
          <w:p>
            <w:pPr>
              <w:spacing w:beforeLines="0" w:afterLines="0"/>
              <w:jc w:val="center"/>
              <w:rPr>
                <w:rFonts w:hint="eastAsia" w:ascii="宋体" w:hAnsi="宋体"/>
                <w:b/>
                <w:color w:val="000000"/>
                <w:sz w:val="28"/>
              </w:rPr>
            </w:pPr>
            <w:r>
              <w:rPr>
                <w:rFonts w:hint="eastAsia" w:ascii="宋体" w:hAnsi="宋体"/>
                <w:b/>
                <w:color w:val="000000"/>
                <w:sz w:val="28"/>
              </w:rPr>
              <w:t>农专社吊销名单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25" w:type="dxa"/>
            <w:tcBorders>
              <w:top w:val="single" w:color="auto" w:sz="6" w:space="0"/>
              <w:left w:val="single" w:color="auto" w:sz="6" w:space="0"/>
              <w:bottom w:val="nil"/>
              <w:right w:val="single" w:color="auto" w:sz="6" w:space="0"/>
              <w:tl2br w:val="nil"/>
              <w:tr2bl w:val="nil"/>
            </w:tcBorders>
            <w:noWrap w:val="0"/>
            <w:vAlign w:val="top"/>
          </w:tcPr>
          <w:p>
            <w:pPr>
              <w:spacing w:beforeLines="0" w:afterLines="0"/>
              <w:jc w:val="left"/>
              <w:rPr>
                <w:rFonts w:hint="eastAsia" w:ascii="Calibri" w:hAnsi="Calibri" w:eastAsia="Calibri"/>
                <w:b/>
                <w:color w:val="000000"/>
                <w:sz w:val="22"/>
              </w:rPr>
            </w:pPr>
            <w:r>
              <w:rPr>
                <w:rFonts w:hint="eastAsia" w:ascii="Calibri" w:hAnsi="Calibri" w:eastAsia="Calibri"/>
                <w:b/>
                <w:color w:val="000000"/>
                <w:sz w:val="22"/>
              </w:rPr>
              <w:t>序号</w:t>
            </w:r>
          </w:p>
        </w:tc>
        <w:tc>
          <w:tcPr>
            <w:tcW w:w="2430" w:type="dxa"/>
            <w:tcBorders>
              <w:top w:val="single" w:color="auto" w:sz="6" w:space="0"/>
              <w:left w:val="single" w:color="auto" w:sz="6" w:space="0"/>
              <w:bottom w:val="nil"/>
              <w:right w:val="single" w:color="auto" w:sz="6" w:space="0"/>
              <w:tl2br w:val="nil"/>
              <w:tr2bl w:val="nil"/>
            </w:tcBorders>
            <w:noWrap w:val="0"/>
            <w:vAlign w:val="top"/>
          </w:tcPr>
          <w:p>
            <w:pPr>
              <w:spacing w:beforeLines="0" w:afterLines="0"/>
              <w:jc w:val="left"/>
              <w:rPr>
                <w:rFonts w:hint="eastAsia" w:ascii="Calibri" w:hAnsi="Calibri" w:eastAsia="Calibri"/>
                <w:b/>
                <w:color w:val="000000"/>
                <w:sz w:val="22"/>
              </w:rPr>
            </w:pPr>
            <w:r>
              <w:rPr>
                <w:rFonts w:hint="eastAsia" w:ascii="Calibri" w:hAnsi="Calibri" w:eastAsia="Calibri"/>
                <w:b/>
                <w:color w:val="000000"/>
                <w:sz w:val="22"/>
              </w:rPr>
              <w:t>统一代码/注册号</w:t>
            </w:r>
          </w:p>
        </w:tc>
        <w:tc>
          <w:tcPr>
            <w:tcW w:w="3240" w:type="dxa"/>
            <w:tcBorders>
              <w:top w:val="single" w:color="auto" w:sz="6" w:space="0"/>
              <w:left w:val="single" w:color="auto" w:sz="6" w:space="0"/>
              <w:bottom w:val="nil"/>
              <w:right w:val="single" w:color="auto" w:sz="6" w:space="0"/>
              <w:tl2br w:val="nil"/>
              <w:tr2bl w:val="nil"/>
            </w:tcBorders>
            <w:noWrap w:val="0"/>
            <w:vAlign w:val="top"/>
          </w:tcPr>
          <w:p>
            <w:pPr>
              <w:spacing w:beforeLines="0" w:afterLines="0"/>
              <w:jc w:val="left"/>
              <w:rPr>
                <w:rFonts w:hint="eastAsia" w:ascii="Calibri" w:hAnsi="Calibri" w:eastAsia="Calibri"/>
                <w:b/>
                <w:color w:val="000000"/>
                <w:sz w:val="22"/>
              </w:rPr>
            </w:pPr>
            <w:r>
              <w:rPr>
                <w:rFonts w:hint="eastAsia" w:ascii="Calibri" w:hAnsi="Calibri" w:eastAsia="Calibri"/>
                <w:b/>
                <w:color w:val="000000"/>
                <w:sz w:val="22"/>
              </w:rPr>
              <w:t>企业名称</w:t>
            </w:r>
          </w:p>
        </w:tc>
        <w:tc>
          <w:tcPr>
            <w:tcW w:w="1005" w:type="dxa"/>
            <w:tcBorders>
              <w:top w:val="single" w:color="auto" w:sz="6" w:space="0"/>
              <w:left w:val="single" w:color="auto" w:sz="6" w:space="0"/>
              <w:bottom w:val="nil"/>
              <w:right w:val="single" w:color="auto" w:sz="6" w:space="0"/>
              <w:tl2br w:val="nil"/>
              <w:tr2bl w:val="nil"/>
            </w:tcBorders>
            <w:noWrap w:val="0"/>
            <w:vAlign w:val="top"/>
          </w:tcPr>
          <w:p>
            <w:pPr>
              <w:spacing w:beforeLines="0" w:afterLines="0"/>
              <w:jc w:val="left"/>
              <w:rPr>
                <w:rFonts w:hint="eastAsia" w:ascii="宋体" w:hAnsi="宋体"/>
                <w:b/>
                <w:color w:val="000000"/>
                <w:sz w:val="22"/>
              </w:rPr>
            </w:pPr>
            <w:r>
              <w:rPr>
                <w:rFonts w:hint="eastAsia" w:ascii="宋体" w:hAnsi="宋体"/>
                <w:b/>
                <w:color w:val="000000"/>
                <w:sz w:val="22"/>
              </w:rPr>
              <w:t>负责人</w:t>
            </w:r>
          </w:p>
        </w:tc>
        <w:tc>
          <w:tcPr>
            <w:tcW w:w="2445" w:type="dxa"/>
            <w:tcBorders>
              <w:top w:val="single" w:color="auto" w:sz="6" w:space="0"/>
              <w:left w:val="single" w:color="auto" w:sz="6" w:space="0"/>
              <w:bottom w:val="nil"/>
              <w:right w:val="single" w:color="auto" w:sz="6" w:space="0"/>
              <w:tl2br w:val="nil"/>
              <w:tr2bl w:val="nil"/>
            </w:tcBorders>
            <w:noWrap w:val="0"/>
            <w:vAlign w:val="top"/>
          </w:tcPr>
          <w:p>
            <w:pPr>
              <w:spacing w:beforeLines="0" w:afterLines="0"/>
              <w:jc w:val="left"/>
              <w:rPr>
                <w:rFonts w:hint="eastAsia" w:ascii="宋体" w:hAnsi="宋体"/>
                <w:b/>
                <w:color w:val="000000"/>
                <w:sz w:val="22"/>
              </w:rPr>
            </w:pPr>
            <w:r>
              <w:rPr>
                <w:rFonts w:hint="eastAsia" w:ascii="宋体" w:hAnsi="宋体"/>
                <w:b/>
                <w:color w:val="000000"/>
                <w:sz w:val="22"/>
              </w:rPr>
              <w:t>处罚决定书文号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93330624MA28807KXW</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新昌县丰成农产品专业合作社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盛月燕</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2</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933306245943865282</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新昌县岭竺粮食专业合作社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丁东初</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3</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93330624590570774F</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新昌县友富蔬菜专业合作社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丁有能</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4</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93330624587783269D</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新昌县诚一苗木专业合作社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俞兴兰</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5</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93330624MA29D9B20J</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新昌县谷峰茶叶专业合作社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杨溥恩</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6</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93330624560972780N</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新昌县永庆茶叶专业合作社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王永庆</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7</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933306246716404558</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新昌县黄土地蔬菜专业合作社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张维平</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8</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93330624693894616U</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新昌县万发农产品专业合作社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唐光强</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9</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93330624MA29D9BQ7Y</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新昌县沙溪镇农丰花生专业合作社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朱兴土</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10</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933306243299130081</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新昌县中听兔业专业合作社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方中听</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11</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93330624MA2885064E</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新昌县甘棠蔬菜专业合作社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刘国进</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12</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93330624MA288GJA8L</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新昌县刘门坞苗木专业合作社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丁永潮</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13</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933306240656446087</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新昌县方科美洲大蠊养殖专业合作社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吕芳</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14</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933306246912739711</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新昌县新越蓝莓专业合作社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王均礼</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15</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93330624MA288DU83G</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新昌县纵联果蔬专业合作社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杨伟伟</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16</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93330624559671761E</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新昌县蓝天紫地茶叶专业合作社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杨国锋</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17</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93330624355397318U</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新昌县绿康农产品专业合作社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梁海勇</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18</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93330624MA288CNN9X</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新昌县乡情水果专业合作社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潘志方</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19</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93330624550534963C</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新昌县绿安蔬菜专业合作社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卢育安</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20</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93330624MA28865Y87</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新昌县榧森香榧专业合作社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杨苗芹</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21</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93330624MA288F272W</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新昌县果农水果专业合作社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王旭园</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22</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93330624558629414E</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新昌县蜜源蜂业专业合作社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屠联军</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23</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93330624665192270E</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新昌县协和小京生专业合作社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徐岳西</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24</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93330624MA28815W81</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新昌县卓越果蔬专业合作社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吕蓉</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25</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93330624MA2889GWXA</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新昌县见明粮食专业合作社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张见明</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26</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93330624MA2888CBXT</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新昌县观田山果蔬专业合作社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求福道</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Calibri" w:hAnsi="Calibri" w:eastAsia="Calibri"/>
                <w:color w:val="000000"/>
                <w:sz w:val="20"/>
              </w:rPr>
            </w:pPr>
            <w:r>
              <w:rPr>
                <w:rFonts w:hint="eastAsia" w:ascii="Calibri" w:hAnsi="Calibri" w:eastAsia="Calibri"/>
                <w:color w:val="000000"/>
                <w:sz w:val="20"/>
              </w:rPr>
              <w:t>27</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93330624581676585A</w:t>
            </w:r>
          </w:p>
        </w:tc>
        <w:tc>
          <w:tcPr>
            <w:tcW w:w="3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新昌县宏康药材专业合作社</w:t>
            </w:r>
          </w:p>
        </w:tc>
        <w:tc>
          <w:tcPr>
            <w:tcW w:w="100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Calibri" w:hAnsi="Calibri" w:eastAsia="Calibri"/>
                <w:color w:val="000000"/>
                <w:sz w:val="20"/>
              </w:rPr>
            </w:pPr>
            <w:r>
              <w:rPr>
                <w:rFonts w:hint="eastAsia" w:ascii="Calibri" w:hAnsi="Calibri" w:eastAsia="Calibri"/>
                <w:color w:val="000000"/>
                <w:sz w:val="20"/>
              </w:rPr>
              <w:t>张红辉</w:t>
            </w:r>
          </w:p>
        </w:tc>
        <w:tc>
          <w:tcPr>
            <w:tcW w:w="24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新市监案字[2020]90-27号</w:t>
            </w:r>
          </w:p>
        </w:tc>
      </w:tr>
    </w:tbl>
    <w:p>
      <w:pPr>
        <w:spacing w:line="240" w:lineRule="auto"/>
        <w:rPr>
          <w:rFonts w:hint="eastAsia" w:asciiTheme="minorEastAsia" w:hAnsiTheme="minorEastAsia" w:eastAsiaTheme="minorEastAsia"/>
          <w:sz w:val="28"/>
          <w:szCs w:val="28"/>
        </w:rPr>
      </w:pPr>
    </w:p>
    <w:p>
      <w:pPr>
        <w:spacing w:line="240" w:lineRule="auto"/>
        <w:ind w:firstLine="560" w:firstLineChars="200"/>
        <w:rPr>
          <w:rFonts w:asciiTheme="minorEastAsia" w:hAnsiTheme="minorEastAsia" w:eastAsia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2D02"/>
    <w:rsid w:val="00043134"/>
    <w:rsid w:val="00056A4E"/>
    <w:rsid w:val="00071434"/>
    <w:rsid w:val="000F62EC"/>
    <w:rsid w:val="0015769E"/>
    <w:rsid w:val="001B1FD1"/>
    <w:rsid w:val="001D34EB"/>
    <w:rsid w:val="00256FC4"/>
    <w:rsid w:val="00257FCB"/>
    <w:rsid w:val="00285804"/>
    <w:rsid w:val="002B4A87"/>
    <w:rsid w:val="002E085D"/>
    <w:rsid w:val="003533AA"/>
    <w:rsid w:val="003B137B"/>
    <w:rsid w:val="00443749"/>
    <w:rsid w:val="004721D7"/>
    <w:rsid w:val="00484EDF"/>
    <w:rsid w:val="004C1270"/>
    <w:rsid w:val="004D746C"/>
    <w:rsid w:val="004D7BC0"/>
    <w:rsid w:val="005812CA"/>
    <w:rsid w:val="005A0BC0"/>
    <w:rsid w:val="00627395"/>
    <w:rsid w:val="0066521C"/>
    <w:rsid w:val="006900C2"/>
    <w:rsid w:val="00692947"/>
    <w:rsid w:val="006F57AB"/>
    <w:rsid w:val="0071251D"/>
    <w:rsid w:val="007377A5"/>
    <w:rsid w:val="00774B45"/>
    <w:rsid w:val="007B01D7"/>
    <w:rsid w:val="007E4071"/>
    <w:rsid w:val="007F038B"/>
    <w:rsid w:val="00856A9D"/>
    <w:rsid w:val="008C47FB"/>
    <w:rsid w:val="009377F9"/>
    <w:rsid w:val="00A12612"/>
    <w:rsid w:val="00B4621B"/>
    <w:rsid w:val="00BA6619"/>
    <w:rsid w:val="00BF5C9B"/>
    <w:rsid w:val="00BF6728"/>
    <w:rsid w:val="00C00445"/>
    <w:rsid w:val="00C102C7"/>
    <w:rsid w:val="00C120AD"/>
    <w:rsid w:val="00C67F6C"/>
    <w:rsid w:val="00C83F6E"/>
    <w:rsid w:val="00C850EB"/>
    <w:rsid w:val="00CA78DB"/>
    <w:rsid w:val="00D57DD3"/>
    <w:rsid w:val="00D74C30"/>
    <w:rsid w:val="00DC677D"/>
    <w:rsid w:val="00E42B68"/>
    <w:rsid w:val="00E44666"/>
    <w:rsid w:val="00EA405D"/>
    <w:rsid w:val="00EB095A"/>
    <w:rsid w:val="00EB2D62"/>
    <w:rsid w:val="00F13EF9"/>
    <w:rsid w:val="00F41887"/>
    <w:rsid w:val="00F862C3"/>
    <w:rsid w:val="00F97240"/>
    <w:rsid w:val="00FE36B2"/>
    <w:rsid w:val="00FE3C42"/>
    <w:rsid w:val="03F43D99"/>
    <w:rsid w:val="05CE45C6"/>
    <w:rsid w:val="416D5C56"/>
    <w:rsid w:val="5109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959</Characters>
  <Lines>7</Lines>
  <Paragraphs>2</Paragraphs>
  <TotalTime>76</TotalTime>
  <ScaleCrop>false</ScaleCrop>
  <LinksUpToDate>false</LinksUpToDate>
  <CharactersWithSpaces>1125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2017-04-27T02:07:00Z</dcterms:created>
  <dc:creator>Administrator</dc:creator>
  <cp:lastModifiedBy>直线and曲线</cp:lastModifiedBy>
  <cp:lastPrinted>2020-05-11T00:30:00Z</cp:lastPrinted>
  <dcterms:modified xsi:type="dcterms:W3CDTF">2020-05-11T01:11:47Z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