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0"/>
        <w:jc w:val="center"/>
        <w:rPr>
          <w:sz w:val="14"/>
          <w:szCs w:val="14"/>
        </w:rPr>
      </w:pPr>
      <w:r>
        <w:rPr>
          <w:rFonts w:hint="default" w:ascii="方正小标宋简体" w:hAnsi="方正小标宋简体" w:eastAsia="方正小标宋简体" w:cs="方正小标宋简体"/>
          <w:sz w:val="29"/>
          <w:szCs w:val="29"/>
        </w:rPr>
        <w:t>金融支持高质量发展若干政策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left"/>
        <w:rPr>
          <w:sz w:val="14"/>
          <w:szCs w:val="14"/>
        </w:rPr>
      </w:pPr>
      <w:r>
        <w:rPr>
          <w:rFonts w:hint="default" w:ascii="Calibri" w:hAnsi="Calibri" w:cs="Calibri"/>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eastAsia" w:ascii="黑体" w:hAnsi="宋体" w:eastAsia="黑体" w:cs="黑体"/>
          <w:sz w:val="21"/>
          <w:szCs w:val="21"/>
        </w:rPr>
        <w:t>一、加强金融服务保障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default" w:ascii="楷体_GB2312" w:eastAsia="楷体_GB2312" w:cs="楷体_GB2312"/>
          <w:sz w:val="21"/>
          <w:szCs w:val="21"/>
        </w:rPr>
        <w:t>（一）银行业金融机构考评。</w:t>
      </w:r>
      <w:r>
        <w:rPr>
          <w:rFonts w:hint="default" w:ascii="仿宋_GB2312" w:eastAsia="仿宋_GB2312" w:cs="仿宋_GB2312"/>
          <w:sz w:val="21"/>
          <w:szCs w:val="21"/>
        </w:rPr>
        <w:t>设置存贷款增量与增幅、制造业贷款、人才企业贷款、政府性融资担保及不良处置、社会贡献等考评指标，</w:t>
      </w:r>
      <w:bookmarkStart w:id="0" w:name="_GoBack"/>
      <w:bookmarkEnd w:id="0"/>
      <w:r>
        <w:rPr>
          <w:rFonts w:hint="default" w:ascii="仿宋_GB2312" w:eastAsia="仿宋_GB2312" w:cs="仿宋_GB2312"/>
          <w:sz w:val="21"/>
          <w:szCs w:val="21"/>
        </w:rPr>
        <w:t>季度与年度考评相结合，按照考评结果确定优秀等级。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default" w:ascii="楷体_GB2312" w:eastAsia="楷体_GB2312" w:cs="楷体_GB2312"/>
          <w:sz w:val="21"/>
          <w:szCs w:val="21"/>
        </w:rPr>
        <w:t>（二）保险公司年度考评。</w:t>
      </w:r>
      <w:r>
        <w:rPr>
          <w:rFonts w:hint="default" w:ascii="仿宋_GB2312" w:eastAsia="仿宋_GB2312" w:cs="仿宋_GB2312"/>
          <w:sz w:val="21"/>
          <w:szCs w:val="21"/>
        </w:rPr>
        <w:t>设置赔款与给付、服务效率、社会贡献、社会责任、保险创新等考评指标，按照考评结果确定优秀等级。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default" w:ascii="楷体_GB2312" w:eastAsia="楷体_GB2312" w:cs="楷体_GB2312"/>
          <w:sz w:val="21"/>
          <w:szCs w:val="21"/>
        </w:rPr>
        <w:t>（三）证券期货机构年度考评。</w:t>
      </w:r>
      <w:r>
        <w:rPr>
          <w:rFonts w:hint="default" w:ascii="仿宋_GB2312" w:eastAsia="仿宋_GB2312" w:cs="仿宋_GB2312"/>
          <w:sz w:val="21"/>
          <w:szCs w:val="21"/>
        </w:rPr>
        <w:t>设置资产管理业务、投资银行业务、创新业务、社会贡献等考评指标，按照考评结果确定优秀等级。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eastAsia" w:ascii="黑体" w:hAnsi="宋体" w:eastAsia="黑体" w:cs="黑体"/>
          <w:sz w:val="21"/>
          <w:szCs w:val="21"/>
        </w:rPr>
        <w:t>二、强化融资担保增信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default" w:ascii="楷体_GB2312" w:eastAsia="楷体_GB2312" w:cs="楷体_GB2312"/>
          <w:sz w:val="21"/>
          <w:szCs w:val="21"/>
        </w:rPr>
        <w:t>（四）实施政府性融资担保机构资本金补充、风险补偿和担保费补贴。</w:t>
      </w:r>
      <w:r>
        <w:rPr>
          <w:rFonts w:hint="default" w:ascii="仿宋_GB2312" w:eastAsia="仿宋_GB2312" w:cs="仿宋_GB2312"/>
          <w:sz w:val="21"/>
          <w:szCs w:val="21"/>
        </w:rPr>
        <w:t>政府性融资担保机构业务放大倍数超过</w:t>
      </w:r>
      <w:r>
        <w:rPr>
          <w:rFonts w:hint="default" w:ascii="Times New Roman" w:hAnsi="Times New Roman" w:cs="Times New Roman"/>
          <w:sz w:val="21"/>
          <w:szCs w:val="21"/>
        </w:rPr>
        <w:t>8</w:t>
      </w:r>
      <w:r>
        <w:rPr>
          <w:rFonts w:hint="default" w:ascii="仿宋_GB2312" w:eastAsia="仿宋_GB2312" w:cs="仿宋_GB2312"/>
          <w:sz w:val="21"/>
          <w:szCs w:val="21"/>
        </w:rPr>
        <w:t>倍时，出资人应及时进行资本金补充。对政府性融资担保机构进行风险补偿，补偿比例为当年度担保实际损失的</w:t>
      </w:r>
      <w:r>
        <w:rPr>
          <w:rFonts w:hint="default" w:ascii="Times New Roman" w:hAnsi="Times New Roman" w:cs="Times New Roman"/>
          <w:sz w:val="21"/>
          <w:szCs w:val="21"/>
        </w:rPr>
        <w:t>20%</w:t>
      </w:r>
      <w:r>
        <w:rPr>
          <w:rFonts w:hint="default" w:ascii="仿宋_GB2312" w:eastAsia="仿宋_GB2312" w:cs="仿宋_GB2312"/>
          <w:sz w:val="21"/>
          <w:szCs w:val="21"/>
        </w:rPr>
        <w:t>，最高补助不超过</w:t>
      </w:r>
      <w:r>
        <w:rPr>
          <w:rFonts w:hint="default" w:ascii="Times New Roman" w:hAnsi="Times New Roman" w:cs="Times New Roman"/>
          <w:sz w:val="21"/>
          <w:szCs w:val="21"/>
        </w:rPr>
        <w:t>500</w:t>
      </w:r>
      <w:r>
        <w:rPr>
          <w:rFonts w:hint="default" w:ascii="仿宋_GB2312" w:eastAsia="仿宋_GB2312" w:cs="仿宋_GB2312"/>
          <w:sz w:val="21"/>
          <w:szCs w:val="21"/>
        </w:rPr>
        <w:t>万元，担保实际损失为当年度担保本金代偿额减当年度追偿金额（代偿额以法院判决、调解等相关法律文书为准）。对政府性融资担保机构进行保费补贴，补贴比例为政府性融资担保机构当年末中小微企业担保业务余额的</w:t>
      </w:r>
      <w:r>
        <w:rPr>
          <w:rFonts w:hint="default" w:ascii="Times New Roman" w:hAnsi="Times New Roman" w:cs="Times New Roman"/>
          <w:sz w:val="21"/>
          <w:szCs w:val="21"/>
        </w:rPr>
        <w:t>2%</w:t>
      </w:r>
      <w:r>
        <w:rPr>
          <w:rFonts w:hint="default" w:ascii="仿宋_GB2312" w:eastAsia="仿宋_GB2312" w:cs="仿宋_GB2312"/>
          <w:sz w:val="21"/>
          <w:szCs w:val="21"/>
        </w:rPr>
        <w:t>。对政府性融资担保机构小微外贸企业（含个体工商户）汇率避险增信服务，按不超过 </w:t>
      </w:r>
      <w:r>
        <w:rPr>
          <w:rFonts w:hint="default" w:ascii="Times New Roman" w:hAnsi="Times New Roman" w:cs="Times New Roman"/>
          <w:sz w:val="21"/>
          <w:szCs w:val="21"/>
        </w:rPr>
        <w:t>1%</w:t>
      </w:r>
      <w:r>
        <w:rPr>
          <w:rFonts w:hint="default" w:ascii="仿宋_GB2312" w:eastAsia="仿宋_GB2312" w:cs="仿宋_GB2312"/>
          <w:sz w:val="21"/>
          <w:szCs w:val="21"/>
        </w:rPr>
        <w:t>的担保费给予费用补贴（计算基数为担保保函额度）。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default" w:ascii="楷体_GB2312" w:eastAsia="楷体_GB2312" w:cs="楷体_GB2312"/>
          <w:sz w:val="21"/>
          <w:szCs w:val="21"/>
        </w:rPr>
        <w:t>（五）落实尽职免责。</w:t>
      </w:r>
      <w:r>
        <w:rPr>
          <w:rFonts w:hint="default" w:ascii="仿宋_GB2312" w:eastAsia="仿宋_GB2312" w:cs="仿宋_GB2312"/>
          <w:sz w:val="21"/>
          <w:szCs w:val="21"/>
        </w:rPr>
        <w:t>政府性融资担保机构适用《浙江省政策性融资担保业务尽职免责工作机制》（浙融担办〔</w:t>
      </w:r>
      <w:r>
        <w:rPr>
          <w:rFonts w:hint="default" w:ascii="Times New Roman" w:hAnsi="Times New Roman" w:cs="Times New Roman"/>
          <w:sz w:val="21"/>
          <w:szCs w:val="21"/>
        </w:rPr>
        <w:t>2021</w:t>
      </w:r>
      <w:r>
        <w:rPr>
          <w:rFonts w:hint="default" w:ascii="仿宋_GB2312" w:eastAsia="仿宋_GB2312" w:cs="仿宋_GB2312"/>
          <w:sz w:val="21"/>
          <w:szCs w:val="21"/>
        </w:rPr>
        <w:t>〕</w:t>
      </w:r>
      <w:r>
        <w:rPr>
          <w:rFonts w:hint="default" w:ascii="Times New Roman" w:hAnsi="Times New Roman" w:cs="Times New Roman"/>
          <w:sz w:val="21"/>
          <w:szCs w:val="21"/>
        </w:rPr>
        <w:t>1</w:t>
      </w:r>
      <w:r>
        <w:rPr>
          <w:rFonts w:hint="default" w:ascii="仿宋_GB2312" w:eastAsia="仿宋_GB2312" w:cs="仿宋_GB2312"/>
          <w:sz w:val="21"/>
          <w:szCs w:val="21"/>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eastAsia" w:ascii="黑体" w:hAnsi="宋体" w:eastAsia="黑体" w:cs="黑体"/>
          <w:sz w:val="21"/>
          <w:szCs w:val="21"/>
        </w:rPr>
        <w:t>三、加快资本市场发展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default" w:ascii="楷体_GB2312" w:eastAsia="楷体_GB2312" w:cs="楷体_GB2312"/>
          <w:sz w:val="21"/>
          <w:szCs w:val="21"/>
        </w:rPr>
        <w:t>（六）激励上市核心人员。</w:t>
      </w:r>
      <w:r>
        <w:rPr>
          <w:rFonts w:hint="default" w:ascii="仿宋_GB2312" w:eastAsia="仿宋_GB2312" w:cs="仿宋_GB2312"/>
          <w:sz w:val="21"/>
          <w:szCs w:val="21"/>
        </w:rPr>
        <w:t>上市企业和拟上市企业引进的高层次人才列入</w:t>
      </w:r>
      <w:r>
        <w:rPr>
          <w:rFonts w:hint="eastAsia" w:ascii="宋体" w:hAnsi="宋体" w:eastAsia="宋体" w:cs="宋体"/>
          <w:sz w:val="21"/>
          <w:szCs w:val="21"/>
        </w:rPr>
        <w:t>“</w:t>
      </w:r>
      <w:r>
        <w:rPr>
          <w:rFonts w:hint="default" w:ascii="仿宋_GB2312" w:eastAsia="仿宋_GB2312" w:cs="仿宋_GB2312"/>
          <w:sz w:val="21"/>
          <w:szCs w:val="21"/>
        </w:rPr>
        <w:t>天姥英才</w:t>
      </w:r>
      <w:r>
        <w:rPr>
          <w:rFonts w:hint="eastAsia" w:ascii="宋体" w:hAnsi="宋体" w:eastAsia="宋体" w:cs="宋体"/>
          <w:sz w:val="21"/>
          <w:szCs w:val="21"/>
        </w:rPr>
        <w:t>”</w:t>
      </w:r>
      <w:r>
        <w:rPr>
          <w:rFonts w:hint="default" w:ascii="仿宋_GB2312" w:eastAsia="仿宋_GB2312" w:cs="仿宋_GB2312"/>
          <w:sz w:val="21"/>
          <w:szCs w:val="21"/>
        </w:rPr>
        <w:t>计划人才扶持政策范围的，享受住房、子女上学、落户等政策；对上市企业引进的董秘、财务总监等高级管理人才，参照县最新人才政策</w:t>
      </w:r>
      <w:r>
        <w:rPr>
          <w:rFonts w:hint="default" w:ascii="Times New Roman" w:hAnsi="Times New Roman" w:cs="Times New Roman"/>
          <w:sz w:val="21"/>
          <w:szCs w:val="21"/>
        </w:rPr>
        <w:t>E</w:t>
      </w:r>
      <w:r>
        <w:rPr>
          <w:rFonts w:hint="default" w:ascii="仿宋_GB2312" w:eastAsia="仿宋_GB2312" w:cs="仿宋_GB2312"/>
          <w:sz w:val="21"/>
          <w:szCs w:val="21"/>
        </w:rPr>
        <w:t>类人才标准享受优惠政策；对拟上市企业</w:t>
      </w:r>
      <w:r>
        <w:rPr>
          <w:rFonts w:hint="default" w:ascii="Times New Roman" w:hAnsi="Times New Roman" w:cs="Times New Roman"/>
          <w:sz w:val="21"/>
          <w:szCs w:val="21"/>
        </w:rPr>
        <w:t>5</w:t>
      </w:r>
      <w:r>
        <w:rPr>
          <w:rFonts w:hint="default" w:ascii="仿宋_GB2312" w:eastAsia="仿宋_GB2312" w:cs="仿宋_GB2312"/>
          <w:sz w:val="21"/>
          <w:szCs w:val="21"/>
        </w:rPr>
        <w:t>年内引进的董秘、财务总监等高级管理人才，在企业完成上市后，参照县最新人才政策</w:t>
      </w:r>
      <w:r>
        <w:rPr>
          <w:rFonts w:hint="default" w:ascii="Times New Roman" w:hAnsi="Times New Roman" w:cs="Times New Roman"/>
          <w:sz w:val="21"/>
          <w:szCs w:val="21"/>
        </w:rPr>
        <w:t>E</w:t>
      </w:r>
      <w:r>
        <w:rPr>
          <w:rFonts w:hint="default" w:ascii="仿宋_GB2312" w:eastAsia="仿宋_GB2312" w:cs="仿宋_GB2312"/>
          <w:sz w:val="21"/>
          <w:szCs w:val="21"/>
        </w:rPr>
        <w:t>类人才标准享受优惠政策。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default" w:ascii="楷体_GB2312" w:eastAsia="楷体_GB2312" w:cs="楷体_GB2312"/>
          <w:sz w:val="21"/>
          <w:szCs w:val="21"/>
        </w:rPr>
        <w:t>（七）推动股改挂牌上市。</w:t>
      </w:r>
      <w:r>
        <w:rPr>
          <w:rFonts w:hint="default" w:ascii="仿宋_GB2312" w:eastAsia="仿宋_GB2312" w:cs="仿宋_GB2312"/>
          <w:sz w:val="21"/>
          <w:szCs w:val="21"/>
        </w:rPr>
        <w:t>鼓励企业股份制改造，对为实现企业上市或挂牌而实施的股改在企业完成浙江省股权交易中心成长板挂牌、新三板挂牌或报证监局辅导后给予一次性 </w:t>
      </w:r>
      <w:r>
        <w:rPr>
          <w:rFonts w:hint="default" w:ascii="Times New Roman" w:hAnsi="Times New Roman" w:cs="Times New Roman"/>
          <w:sz w:val="21"/>
          <w:szCs w:val="21"/>
        </w:rPr>
        <w:t>20</w:t>
      </w:r>
      <w:r>
        <w:rPr>
          <w:rFonts w:hint="default" w:ascii="仿宋_GB2312" w:eastAsia="仿宋_GB2312" w:cs="仿宋_GB2312"/>
          <w:sz w:val="21"/>
          <w:szCs w:val="21"/>
        </w:rPr>
        <w:t>万元奖励。鼓励企业积极对接多层次资本市场，在新三板挂牌的一次性奖励100万元，在浙江省股权交易中心成长板、专精特新板培育层挂牌的一次性奖励20万元，在浙江省股权交易中心科创人才板、专精特新板规范层、孵化层挂牌一次性奖励2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default" w:ascii="仿宋_GB2312" w:eastAsia="仿宋_GB2312" w:cs="仿宋_GB2312"/>
          <w:sz w:val="21"/>
          <w:szCs w:val="21"/>
        </w:rPr>
        <w:t>企业实现境内外上市的（包括上交所、深交所、北交所等海内外市场）根据首发融资额（人民币）给予一次性</w:t>
      </w:r>
      <w:r>
        <w:rPr>
          <w:rFonts w:hint="default" w:ascii="Times New Roman" w:hAnsi="Times New Roman" w:cs="Times New Roman"/>
          <w:sz w:val="21"/>
          <w:szCs w:val="21"/>
        </w:rPr>
        <w:t>500</w:t>
      </w:r>
      <w:r>
        <w:rPr>
          <w:rFonts w:hint="default" w:ascii="仿宋_GB2312" w:eastAsia="仿宋_GB2312" w:cs="仿宋_GB2312"/>
          <w:sz w:val="21"/>
          <w:szCs w:val="21"/>
        </w:rPr>
        <w:t>万元到</w:t>
      </w:r>
      <w:r>
        <w:rPr>
          <w:rFonts w:hint="default" w:ascii="Times New Roman" w:hAnsi="Times New Roman" w:cs="Times New Roman"/>
          <w:sz w:val="21"/>
          <w:szCs w:val="21"/>
        </w:rPr>
        <w:t>800</w:t>
      </w:r>
      <w:r>
        <w:rPr>
          <w:rFonts w:hint="default" w:ascii="仿宋_GB2312" w:eastAsia="仿宋_GB2312" w:cs="仿宋_GB2312"/>
          <w:sz w:val="21"/>
          <w:szCs w:val="21"/>
        </w:rPr>
        <w:t>万元的奖励，首发融资</w:t>
      </w:r>
      <w:r>
        <w:rPr>
          <w:rFonts w:hint="default" w:ascii="Times New Roman" w:hAnsi="Times New Roman" w:cs="Times New Roman"/>
          <w:sz w:val="21"/>
          <w:szCs w:val="21"/>
        </w:rPr>
        <w:t>5</w:t>
      </w:r>
      <w:r>
        <w:rPr>
          <w:rFonts w:hint="default" w:ascii="仿宋_GB2312" w:eastAsia="仿宋_GB2312" w:cs="仿宋_GB2312"/>
          <w:sz w:val="21"/>
          <w:szCs w:val="21"/>
        </w:rPr>
        <w:t>亿元以内的给予一次性</w:t>
      </w:r>
      <w:r>
        <w:rPr>
          <w:rFonts w:hint="default" w:ascii="Times New Roman" w:hAnsi="Times New Roman" w:cs="Times New Roman"/>
          <w:sz w:val="21"/>
          <w:szCs w:val="21"/>
        </w:rPr>
        <w:t>500</w:t>
      </w:r>
      <w:r>
        <w:rPr>
          <w:rFonts w:hint="default" w:ascii="仿宋_GB2312" w:eastAsia="仿宋_GB2312" w:cs="仿宋_GB2312"/>
          <w:sz w:val="21"/>
          <w:szCs w:val="21"/>
        </w:rPr>
        <w:t>万元的奖励（北交所含新三板挂牌奖励），首发融资超过</w:t>
      </w:r>
      <w:r>
        <w:rPr>
          <w:rFonts w:hint="default" w:ascii="Times New Roman" w:hAnsi="Times New Roman" w:cs="Times New Roman"/>
          <w:sz w:val="21"/>
          <w:szCs w:val="21"/>
        </w:rPr>
        <w:t>5</w:t>
      </w:r>
      <w:r>
        <w:rPr>
          <w:rFonts w:hint="default" w:ascii="仿宋_GB2312" w:eastAsia="仿宋_GB2312" w:cs="仿宋_GB2312"/>
          <w:sz w:val="21"/>
          <w:szCs w:val="21"/>
        </w:rPr>
        <w:t>亿元的每增加</w:t>
      </w:r>
      <w:r>
        <w:rPr>
          <w:rFonts w:hint="default" w:ascii="Times New Roman" w:hAnsi="Times New Roman" w:cs="Times New Roman"/>
          <w:sz w:val="21"/>
          <w:szCs w:val="21"/>
        </w:rPr>
        <w:t>1</w:t>
      </w:r>
      <w:r>
        <w:rPr>
          <w:rFonts w:hint="default" w:ascii="仿宋_GB2312" w:eastAsia="仿宋_GB2312" w:cs="仿宋_GB2312"/>
          <w:sz w:val="21"/>
          <w:szCs w:val="21"/>
        </w:rPr>
        <w:t>亿元，追加奖励</w:t>
      </w:r>
      <w:r>
        <w:rPr>
          <w:rFonts w:hint="default" w:ascii="Times New Roman" w:hAnsi="Times New Roman" w:cs="Times New Roman"/>
          <w:sz w:val="21"/>
          <w:szCs w:val="21"/>
        </w:rPr>
        <w:t>100</w:t>
      </w:r>
      <w:r>
        <w:rPr>
          <w:rFonts w:hint="default" w:ascii="仿宋_GB2312" w:eastAsia="仿宋_GB2312" w:cs="仿宋_GB2312"/>
          <w:sz w:val="21"/>
          <w:szCs w:val="21"/>
        </w:rPr>
        <w:t>万元，最高奖励不超过</w:t>
      </w:r>
      <w:r>
        <w:rPr>
          <w:rFonts w:hint="default" w:ascii="Times New Roman" w:hAnsi="Times New Roman" w:cs="Times New Roman"/>
          <w:sz w:val="21"/>
          <w:szCs w:val="21"/>
        </w:rPr>
        <w:t>800</w:t>
      </w:r>
      <w:r>
        <w:rPr>
          <w:rFonts w:hint="default" w:ascii="仿宋_GB2312" w:eastAsia="仿宋_GB2312" w:cs="仿宋_GB2312"/>
          <w:sz w:val="21"/>
          <w:szCs w:val="21"/>
        </w:rPr>
        <w:t>万元；通过买壳迁址上市的，给予一次性</w:t>
      </w:r>
      <w:r>
        <w:rPr>
          <w:rFonts w:hint="default" w:ascii="Times New Roman" w:hAnsi="Times New Roman" w:cs="Times New Roman"/>
          <w:sz w:val="21"/>
          <w:szCs w:val="21"/>
        </w:rPr>
        <w:t>500</w:t>
      </w:r>
      <w:r>
        <w:rPr>
          <w:rFonts w:hint="default" w:ascii="仿宋_GB2312" w:eastAsia="仿宋_GB2312" w:cs="仿宋_GB2312"/>
          <w:sz w:val="21"/>
          <w:szCs w:val="21"/>
        </w:rPr>
        <w:t>万元奖励。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default" w:ascii="仿宋_GB2312" w:eastAsia="仿宋_GB2312" w:cs="仿宋_GB2312"/>
          <w:sz w:val="21"/>
          <w:szCs w:val="21"/>
        </w:rPr>
        <w:t>上市公司每分拆</w:t>
      </w:r>
      <w:r>
        <w:rPr>
          <w:rFonts w:hint="default" w:ascii="Times New Roman" w:hAnsi="Times New Roman" w:cs="Times New Roman"/>
          <w:sz w:val="21"/>
          <w:szCs w:val="21"/>
        </w:rPr>
        <w:t>1</w:t>
      </w:r>
      <w:r>
        <w:rPr>
          <w:rFonts w:hint="default" w:ascii="仿宋_GB2312" w:eastAsia="仿宋_GB2312" w:cs="仿宋_GB2312"/>
          <w:sz w:val="21"/>
          <w:szCs w:val="21"/>
        </w:rPr>
        <w:t>家子公司在境内外上市，奖励</w:t>
      </w:r>
      <w:r>
        <w:rPr>
          <w:rFonts w:hint="default" w:ascii="Times New Roman" w:hAnsi="Times New Roman" w:cs="Times New Roman"/>
          <w:sz w:val="21"/>
          <w:szCs w:val="21"/>
        </w:rPr>
        <w:t>100</w:t>
      </w:r>
      <w:r>
        <w:rPr>
          <w:rFonts w:hint="default" w:ascii="仿宋_GB2312" w:eastAsia="仿宋_GB2312" w:cs="仿宋_GB2312"/>
          <w:sz w:val="21"/>
          <w:szCs w:val="21"/>
        </w:rPr>
        <w:t>万元，分拆上市主体享受同类上市挂牌奖励政策。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default" w:ascii="楷体_GB2312" w:eastAsia="楷体_GB2312" w:cs="楷体_GB2312"/>
          <w:sz w:val="21"/>
          <w:szCs w:val="21"/>
        </w:rPr>
        <w:t>（八）参与招引项目上市。</w:t>
      </w:r>
      <w:r>
        <w:rPr>
          <w:rFonts w:hint="default" w:ascii="仿宋_GB2312" w:eastAsia="仿宋_GB2312" w:cs="仿宋_GB2312"/>
          <w:sz w:val="21"/>
          <w:szCs w:val="21"/>
        </w:rPr>
        <w:t>上市公司、私募股权投资基金、金融机构等投资主体直接参与投资并引进县外项目落地，且五年内成功上市的，在首发上市后对招引主体奖励</w:t>
      </w:r>
      <w:r>
        <w:rPr>
          <w:rFonts w:hint="default" w:ascii="Times New Roman" w:hAnsi="Times New Roman" w:cs="Times New Roman"/>
          <w:sz w:val="21"/>
          <w:szCs w:val="21"/>
        </w:rPr>
        <w:t>200</w:t>
      </w:r>
      <w:r>
        <w:rPr>
          <w:rFonts w:hint="default" w:ascii="仿宋_GB2312" w:eastAsia="仿宋_GB2312" w:cs="仿宋_GB2312"/>
          <w:sz w:val="21"/>
          <w:szCs w:val="21"/>
        </w:rPr>
        <w:t>万元（由落地项目方指定一个项目招引主体，并于项目落户注册前向县金融办报告）。根据项目招引需求，政府产业基金可配套出资组建基金。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default" w:ascii="楷体_GB2312" w:eastAsia="楷体_GB2312" w:cs="楷体_GB2312"/>
          <w:sz w:val="21"/>
          <w:szCs w:val="21"/>
        </w:rPr>
        <w:t>（九）鼓励企业研发创新。</w:t>
      </w:r>
      <w:r>
        <w:rPr>
          <w:rFonts w:hint="default" w:ascii="仿宋_GB2312" w:eastAsia="仿宋_GB2312" w:cs="仿宋_GB2312"/>
          <w:sz w:val="21"/>
          <w:szCs w:val="21"/>
        </w:rPr>
        <w:t>在县科技创新扶持政策基础上，对首发上市企业上市前三年研发投入总额超过6000万元以上部分在上市后给予一次性奖励，每超过1000万元奖励100 万元，奖励最高不超过300万元，其中科创板上市企业最高可奖励不超过500万元，增加额不足1000万元部分不予奖励。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default" w:ascii="楷体_GB2312" w:eastAsia="楷体_GB2312" w:cs="楷体_GB2312"/>
          <w:sz w:val="21"/>
          <w:szCs w:val="21"/>
        </w:rPr>
        <w:t>（十）助力企业引领发展。</w:t>
      </w:r>
      <w:r>
        <w:rPr>
          <w:rFonts w:hint="default" w:ascii="仿宋_GB2312" w:eastAsia="仿宋_GB2312" w:cs="仿宋_GB2312"/>
          <w:sz w:val="21"/>
          <w:szCs w:val="21"/>
        </w:rPr>
        <w:t>鼓励上市公司依托产业优势布局上市公司产业孵化园，或与县内外专业机构合作发展上市公司产业孵化园，重点围绕“4151”计划明确的十大重点产业集群，运营建筑面积达到2万平方米的，每年给予运营机构（上市公司参股）运营补助200万元；运营建筑面积达到3万平方米以上的，每年给予运营机构（上市公司参股）运营补助300万元。运营补助暂定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default" w:ascii="楷体_GB2312" w:eastAsia="楷体_GB2312" w:cs="楷体_GB2312"/>
          <w:sz w:val="21"/>
          <w:szCs w:val="21"/>
        </w:rPr>
        <w:t>（十一）支持企业并购发展。</w:t>
      </w:r>
      <w:r>
        <w:rPr>
          <w:rFonts w:hint="default" w:ascii="仿宋_GB2312" w:eastAsia="仿宋_GB2312" w:cs="仿宋_GB2312"/>
          <w:sz w:val="21"/>
          <w:szCs w:val="21"/>
        </w:rPr>
        <w:t>鼓励上市公司立足主业，结合新昌产业发展导向，开展境内外收购兼并。上市企业对外收购股份并实现并表的，根据上市企业当年度完成收购兼并成交总额给予奖励（以完成变更登记为准）：成交总额超过</w:t>
      </w:r>
      <w:r>
        <w:rPr>
          <w:rFonts w:hint="default" w:ascii="Times New Roman" w:hAnsi="Times New Roman" w:cs="Times New Roman"/>
          <w:sz w:val="21"/>
          <w:szCs w:val="21"/>
        </w:rPr>
        <w:t>10</w:t>
      </w:r>
      <w:r>
        <w:rPr>
          <w:rFonts w:hint="default" w:ascii="仿宋_GB2312" w:eastAsia="仿宋_GB2312" w:cs="仿宋_GB2312"/>
          <w:sz w:val="21"/>
          <w:szCs w:val="21"/>
        </w:rPr>
        <w:t>亿元（含）的，奖励</w:t>
      </w:r>
      <w:r>
        <w:rPr>
          <w:rFonts w:hint="default" w:ascii="Times New Roman" w:hAnsi="Times New Roman" w:cs="Times New Roman"/>
          <w:sz w:val="21"/>
          <w:szCs w:val="21"/>
        </w:rPr>
        <w:t>300</w:t>
      </w:r>
      <w:r>
        <w:rPr>
          <w:rFonts w:hint="default" w:ascii="仿宋_GB2312" w:eastAsia="仿宋_GB2312" w:cs="仿宋_GB2312"/>
          <w:sz w:val="21"/>
          <w:szCs w:val="21"/>
        </w:rPr>
        <w:t>万元；成交总额</w:t>
      </w:r>
      <w:r>
        <w:rPr>
          <w:rFonts w:hint="default" w:ascii="Times New Roman" w:hAnsi="Times New Roman" w:cs="Times New Roman"/>
          <w:sz w:val="21"/>
          <w:szCs w:val="21"/>
        </w:rPr>
        <w:t>5</w:t>
      </w:r>
      <w:r>
        <w:rPr>
          <w:rFonts w:hint="default" w:ascii="仿宋_GB2312" w:eastAsia="仿宋_GB2312" w:cs="仿宋_GB2312"/>
          <w:sz w:val="21"/>
          <w:szCs w:val="21"/>
        </w:rPr>
        <w:t>亿元（含）</w:t>
      </w:r>
      <w:r>
        <w:rPr>
          <w:rFonts w:hint="default" w:ascii="Times New Roman" w:hAnsi="Times New Roman" w:cs="Times New Roman"/>
          <w:sz w:val="21"/>
          <w:szCs w:val="21"/>
        </w:rPr>
        <w:t>—10 </w:t>
      </w:r>
      <w:r>
        <w:rPr>
          <w:rFonts w:hint="default" w:ascii="仿宋_GB2312" w:eastAsia="仿宋_GB2312" w:cs="仿宋_GB2312"/>
          <w:sz w:val="21"/>
          <w:szCs w:val="21"/>
        </w:rPr>
        <w:t>亿元的，奖励</w:t>
      </w:r>
      <w:r>
        <w:rPr>
          <w:rFonts w:hint="default" w:ascii="Times New Roman" w:hAnsi="Times New Roman" w:cs="Times New Roman"/>
          <w:sz w:val="21"/>
          <w:szCs w:val="21"/>
        </w:rPr>
        <w:t>200</w:t>
      </w:r>
      <w:r>
        <w:rPr>
          <w:rFonts w:hint="default" w:ascii="仿宋_GB2312" w:eastAsia="仿宋_GB2312" w:cs="仿宋_GB2312"/>
          <w:sz w:val="21"/>
          <w:szCs w:val="21"/>
        </w:rPr>
        <w:t>万元；成交总额</w:t>
      </w:r>
      <w:r>
        <w:rPr>
          <w:rFonts w:hint="default" w:ascii="Times New Roman" w:hAnsi="Times New Roman" w:cs="Times New Roman"/>
          <w:sz w:val="21"/>
          <w:szCs w:val="21"/>
        </w:rPr>
        <w:t>2</w:t>
      </w:r>
      <w:r>
        <w:rPr>
          <w:rFonts w:hint="default" w:ascii="仿宋_GB2312" w:eastAsia="仿宋_GB2312" w:cs="仿宋_GB2312"/>
          <w:sz w:val="21"/>
          <w:szCs w:val="21"/>
        </w:rPr>
        <w:t>亿元（含）</w:t>
      </w:r>
      <w:r>
        <w:rPr>
          <w:rFonts w:hint="default" w:ascii="Times New Roman" w:hAnsi="Times New Roman" w:cs="Times New Roman"/>
          <w:sz w:val="21"/>
          <w:szCs w:val="21"/>
        </w:rPr>
        <w:t>—5</w:t>
      </w:r>
      <w:r>
        <w:rPr>
          <w:rFonts w:hint="default" w:ascii="仿宋_GB2312" w:eastAsia="仿宋_GB2312" w:cs="仿宋_GB2312"/>
          <w:sz w:val="21"/>
          <w:szCs w:val="21"/>
        </w:rPr>
        <w:t>亿元的，奖励</w:t>
      </w:r>
      <w:r>
        <w:rPr>
          <w:rFonts w:hint="default" w:ascii="Times New Roman" w:hAnsi="Times New Roman" w:cs="Times New Roman"/>
          <w:sz w:val="21"/>
          <w:szCs w:val="21"/>
        </w:rPr>
        <w:t>100</w:t>
      </w:r>
      <w:r>
        <w:rPr>
          <w:rFonts w:hint="default" w:ascii="仿宋_GB2312" w:eastAsia="仿宋_GB2312" w:cs="仿宋_GB2312"/>
          <w:sz w:val="21"/>
          <w:szCs w:val="21"/>
        </w:rPr>
        <w:t>万元。收购实际控制人资产的，减半奖励。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default" w:ascii="楷体_GB2312" w:eastAsia="楷体_GB2312" w:cs="楷体_GB2312"/>
          <w:sz w:val="21"/>
          <w:szCs w:val="21"/>
        </w:rPr>
        <w:t>（十二）鼓励企业直接融资。</w:t>
      </w:r>
      <w:r>
        <w:rPr>
          <w:rFonts w:hint="default" w:ascii="仿宋_GB2312" w:eastAsia="仿宋_GB2312" w:cs="仿宋_GB2312"/>
          <w:sz w:val="21"/>
          <w:szCs w:val="21"/>
        </w:rPr>
        <w:t>上市公司和新三板挂牌企业实现股权再融资，按企业当年度融资总额的</w:t>
      </w:r>
      <w:r>
        <w:rPr>
          <w:rFonts w:hint="default" w:ascii="Times New Roman" w:hAnsi="Times New Roman" w:cs="Times New Roman"/>
          <w:sz w:val="21"/>
          <w:szCs w:val="21"/>
        </w:rPr>
        <w:t>2‰</w:t>
      </w:r>
      <w:r>
        <w:rPr>
          <w:rFonts w:hint="default" w:ascii="仿宋_GB2312" w:eastAsia="仿宋_GB2312" w:cs="仿宋_GB2312"/>
          <w:sz w:val="21"/>
          <w:szCs w:val="21"/>
        </w:rPr>
        <w:t>奖励（控股股东及其一致行动人认购金额不纳入，发行可转债的以办理转股手续为准，摘牌予以兑现），最高不超过</w:t>
      </w:r>
      <w:r>
        <w:rPr>
          <w:rFonts w:hint="default" w:ascii="Times New Roman" w:hAnsi="Times New Roman" w:cs="Times New Roman"/>
          <w:sz w:val="21"/>
          <w:szCs w:val="21"/>
        </w:rPr>
        <w:t>200</w:t>
      </w:r>
      <w:r>
        <w:rPr>
          <w:rFonts w:hint="default" w:ascii="仿宋_GB2312" w:eastAsia="仿宋_GB2312" w:cs="仿宋_GB2312"/>
          <w:sz w:val="21"/>
          <w:szCs w:val="21"/>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default" w:ascii="楷体_GB2312" w:eastAsia="楷体_GB2312" w:cs="楷体_GB2312"/>
          <w:sz w:val="21"/>
          <w:szCs w:val="21"/>
        </w:rPr>
        <w:t>（十三）实施企业共富计划。</w:t>
      </w:r>
      <w:r>
        <w:rPr>
          <w:rFonts w:hint="default" w:ascii="仿宋_GB2312" w:eastAsia="仿宋_GB2312" w:cs="仿宋_GB2312"/>
          <w:sz w:val="21"/>
          <w:szCs w:val="21"/>
        </w:rPr>
        <w:t>鼓励上市企业开展股权激励和员工持股计划，助力扩中提低共富行动，将上市企业开展股权激励和员工持股计划的情况作为推荐优秀董秘和优秀上市公司的重要指标。上市公司董秘被评为浙江省或以上、绍兴市优秀董秘的，分别奖励</w:t>
      </w:r>
      <w:r>
        <w:rPr>
          <w:rFonts w:hint="default" w:ascii="Times New Roman" w:hAnsi="Times New Roman" w:cs="Times New Roman"/>
          <w:sz w:val="21"/>
          <w:szCs w:val="21"/>
        </w:rPr>
        <w:t>5</w:t>
      </w:r>
      <w:r>
        <w:rPr>
          <w:rFonts w:hint="default" w:ascii="仿宋_GB2312" w:eastAsia="仿宋_GB2312" w:cs="仿宋_GB2312"/>
          <w:sz w:val="21"/>
          <w:szCs w:val="21"/>
        </w:rPr>
        <w:t>万元、</w:t>
      </w:r>
      <w:r>
        <w:rPr>
          <w:rFonts w:hint="default" w:ascii="Times New Roman" w:hAnsi="Times New Roman" w:cs="Times New Roman"/>
          <w:sz w:val="21"/>
          <w:szCs w:val="21"/>
        </w:rPr>
        <w:t>3</w:t>
      </w:r>
      <w:r>
        <w:rPr>
          <w:rFonts w:hint="default" w:ascii="仿宋_GB2312" w:eastAsia="仿宋_GB2312" w:cs="仿宋_GB2312"/>
          <w:sz w:val="21"/>
          <w:szCs w:val="21"/>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default" w:ascii="楷体_GB2312" w:eastAsia="楷体_GB2312" w:cs="楷体_GB2312"/>
          <w:sz w:val="21"/>
          <w:szCs w:val="21"/>
        </w:rPr>
        <w:t>（十四）强化上市公司考核激励。</w:t>
      </w:r>
      <w:r>
        <w:rPr>
          <w:rFonts w:hint="default" w:ascii="仿宋_GB2312" w:eastAsia="仿宋_GB2312" w:cs="仿宋_GB2312"/>
          <w:sz w:val="21"/>
          <w:szCs w:val="21"/>
        </w:rPr>
        <w:t>实行上市公司年度综合考评和高质量发展专项考评，对综合考评全市前10的，在年度表彰表扬项目中予以考虑；对高质量发展专项考评全市前10的，分档给予管理团队资金奖励，所需费用由市财政保障。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default" w:ascii="楷体_GB2312" w:eastAsia="楷体_GB2312" w:cs="楷体_GB2312"/>
          <w:sz w:val="21"/>
          <w:szCs w:val="21"/>
        </w:rPr>
        <w:t>（十五）建立上市绿色通道。</w:t>
      </w:r>
      <w:r>
        <w:rPr>
          <w:rFonts w:hint="default" w:ascii="仿宋_GB2312" w:eastAsia="仿宋_GB2312" w:cs="仿宋_GB2312"/>
          <w:sz w:val="21"/>
          <w:szCs w:val="21"/>
        </w:rPr>
        <w:t>按照</w:t>
      </w:r>
      <w:r>
        <w:rPr>
          <w:rFonts w:hint="eastAsia" w:ascii="宋体" w:hAnsi="宋体" w:eastAsia="宋体" w:cs="宋体"/>
          <w:sz w:val="21"/>
          <w:szCs w:val="21"/>
        </w:rPr>
        <w:t>“</w:t>
      </w:r>
      <w:r>
        <w:rPr>
          <w:rFonts w:hint="default" w:ascii="仿宋_GB2312" w:eastAsia="仿宋_GB2312" w:cs="仿宋_GB2312"/>
          <w:sz w:val="21"/>
          <w:szCs w:val="21"/>
        </w:rPr>
        <w:t>最多跑一次</w:t>
      </w:r>
      <w:r>
        <w:rPr>
          <w:rFonts w:hint="eastAsia" w:ascii="宋体" w:hAnsi="宋体" w:eastAsia="宋体" w:cs="宋体"/>
          <w:sz w:val="21"/>
          <w:szCs w:val="21"/>
        </w:rPr>
        <w:t>”</w:t>
      </w:r>
      <w:r>
        <w:rPr>
          <w:rFonts w:hint="default" w:ascii="仿宋_GB2312" w:eastAsia="仿宋_GB2312" w:cs="仿宋_GB2312"/>
          <w:sz w:val="21"/>
          <w:szCs w:val="21"/>
        </w:rPr>
        <w:t>改革要求，各相关部门要开辟</w:t>
      </w:r>
      <w:r>
        <w:rPr>
          <w:rFonts w:hint="eastAsia" w:ascii="宋体" w:hAnsi="宋体" w:eastAsia="宋体" w:cs="宋体"/>
          <w:sz w:val="21"/>
          <w:szCs w:val="21"/>
        </w:rPr>
        <w:t>“</w:t>
      </w:r>
      <w:r>
        <w:rPr>
          <w:rFonts w:hint="default" w:ascii="仿宋_GB2312" w:eastAsia="仿宋_GB2312" w:cs="仿宋_GB2312"/>
          <w:sz w:val="21"/>
          <w:szCs w:val="21"/>
        </w:rPr>
        <w:t>绿色通道</w:t>
      </w:r>
      <w:r>
        <w:rPr>
          <w:rFonts w:hint="eastAsia" w:ascii="宋体" w:hAnsi="宋体" w:eastAsia="宋体" w:cs="宋体"/>
          <w:sz w:val="21"/>
          <w:szCs w:val="21"/>
        </w:rPr>
        <w:t>”</w:t>
      </w:r>
      <w:r>
        <w:rPr>
          <w:rFonts w:hint="default" w:ascii="仿宋_GB2312" w:eastAsia="仿宋_GB2312" w:cs="仿宋_GB2312"/>
          <w:sz w:val="21"/>
          <w:szCs w:val="21"/>
        </w:rPr>
        <w:t>，全程帮助拟上市企业梳理解决用地审批、规划许可、立项报批、竣工验收、在建工程过户、权属证书变更、环保核查等各类历史遗留问题。对企业要求出具的税务、环保、社保、消防、安全生产、公积金、建设、国土、市场监管等无重大违法违规和行政处罚证明，要给予支持并及时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default" w:ascii="楷体_GB2312" w:eastAsia="楷体_GB2312" w:cs="楷体_GB2312"/>
          <w:sz w:val="21"/>
          <w:szCs w:val="21"/>
        </w:rPr>
        <w:t>（十六）实施包容审慎监管。</w:t>
      </w:r>
      <w:r>
        <w:rPr>
          <w:rFonts w:hint="default" w:ascii="仿宋_GB2312" w:eastAsia="仿宋_GB2312" w:cs="仿宋_GB2312"/>
          <w:sz w:val="21"/>
          <w:szCs w:val="21"/>
        </w:rPr>
        <w:t>对列入拟上市和重点培育上市后备名单的企业，相关执法部门要靠前服务，指导企业依法合规运营。按照公平、公正、合理、审慎、包容的原则，引导拟上市和重点培育上市后备名单的企业健康发展。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eastAsia" w:ascii="黑体" w:hAnsi="宋体" w:eastAsia="黑体" w:cs="黑体"/>
          <w:sz w:val="21"/>
          <w:szCs w:val="21"/>
        </w:rPr>
        <w:t>四、附则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default" w:ascii="仿宋_GB2312" w:eastAsia="仿宋_GB2312" w:cs="仿宋_GB2312"/>
          <w:sz w:val="21"/>
          <w:szCs w:val="21"/>
        </w:rPr>
        <w:t>（一）本政策中各类奖补的执行期限为</w:t>
      </w:r>
      <w:r>
        <w:rPr>
          <w:rFonts w:hint="default" w:ascii="Times New Roman" w:hAnsi="Times New Roman" w:cs="Times New Roman"/>
          <w:sz w:val="21"/>
          <w:szCs w:val="21"/>
        </w:rPr>
        <w:t>202</w:t>
      </w:r>
      <w:r>
        <w:rPr>
          <w:rFonts w:hint="default" w:ascii="Times New Roman" w:hAnsi="Times New Roman" w:eastAsia="宋体" w:cs="Times New Roman"/>
          <w:sz w:val="21"/>
          <w:szCs w:val="21"/>
        </w:rPr>
        <w:t>4</w:t>
      </w:r>
      <w:r>
        <w:rPr>
          <w:rFonts w:hint="default" w:ascii="仿宋_GB2312" w:eastAsia="仿宋_GB2312" w:cs="仿宋_GB2312"/>
          <w:sz w:val="21"/>
          <w:szCs w:val="21"/>
        </w:rPr>
        <w:t>年</w:t>
      </w:r>
      <w:r>
        <w:rPr>
          <w:rFonts w:hint="default" w:ascii="Times New Roman" w:hAnsi="Times New Roman" w:cs="Times New Roman"/>
          <w:sz w:val="21"/>
          <w:szCs w:val="21"/>
        </w:rPr>
        <w:t>1</w:t>
      </w:r>
      <w:r>
        <w:rPr>
          <w:rFonts w:hint="default" w:ascii="仿宋_GB2312" w:eastAsia="仿宋_GB2312" w:cs="仿宋_GB2312"/>
          <w:sz w:val="21"/>
          <w:szCs w:val="21"/>
        </w:rPr>
        <w:t>月</w:t>
      </w:r>
      <w:r>
        <w:rPr>
          <w:rFonts w:hint="default" w:ascii="Times New Roman" w:hAnsi="Times New Roman" w:cs="Times New Roman"/>
          <w:sz w:val="21"/>
          <w:szCs w:val="21"/>
        </w:rPr>
        <w:t>1</w:t>
      </w:r>
      <w:r>
        <w:rPr>
          <w:rFonts w:hint="default" w:ascii="仿宋_GB2312" w:eastAsia="仿宋_GB2312" w:cs="仿宋_GB2312"/>
          <w:sz w:val="21"/>
          <w:szCs w:val="21"/>
        </w:rPr>
        <w:t>日至</w:t>
      </w:r>
      <w:r>
        <w:rPr>
          <w:rFonts w:hint="default" w:ascii="Times New Roman" w:hAnsi="Times New Roman" w:cs="Times New Roman"/>
          <w:sz w:val="21"/>
          <w:szCs w:val="21"/>
        </w:rPr>
        <w:t>202</w:t>
      </w:r>
      <w:r>
        <w:rPr>
          <w:rFonts w:hint="default" w:ascii="Times New Roman" w:hAnsi="Times New Roman" w:eastAsia="宋体" w:cs="Times New Roman"/>
          <w:sz w:val="21"/>
          <w:szCs w:val="21"/>
        </w:rPr>
        <w:t>5</w:t>
      </w:r>
      <w:r>
        <w:rPr>
          <w:rFonts w:hint="default" w:ascii="仿宋_GB2312" w:eastAsia="仿宋_GB2312" w:cs="仿宋_GB2312"/>
          <w:sz w:val="21"/>
          <w:szCs w:val="21"/>
        </w:rPr>
        <w:t>年</w:t>
      </w:r>
      <w:r>
        <w:rPr>
          <w:rFonts w:hint="default" w:ascii="Times New Roman" w:hAnsi="Times New Roman" w:cs="Times New Roman"/>
          <w:sz w:val="21"/>
          <w:szCs w:val="21"/>
        </w:rPr>
        <w:t>12</w:t>
      </w:r>
      <w:r>
        <w:rPr>
          <w:rFonts w:hint="default" w:ascii="仿宋_GB2312" w:eastAsia="仿宋_GB2312" w:cs="仿宋_GB2312"/>
          <w:sz w:val="21"/>
          <w:szCs w:val="21"/>
        </w:rPr>
        <w:t>月</w:t>
      </w:r>
      <w:r>
        <w:rPr>
          <w:rFonts w:hint="default" w:ascii="Times New Roman" w:hAnsi="Times New Roman" w:cs="Times New Roman"/>
          <w:sz w:val="21"/>
          <w:szCs w:val="21"/>
        </w:rPr>
        <w:t>31</w:t>
      </w:r>
      <w:r>
        <w:rPr>
          <w:rFonts w:hint="default" w:ascii="仿宋_GB2312" w:eastAsia="仿宋_GB2312" w:cs="仿宋_GB2312"/>
          <w:sz w:val="21"/>
          <w:szCs w:val="21"/>
        </w:rPr>
        <w:t>日（原有补贴政策尚未执行完毕的除外），具体由县金融办会同县财政局牵头实施。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default" w:ascii="仿宋_GB2312" w:eastAsia="仿宋_GB2312" w:cs="仿宋_GB2312"/>
          <w:sz w:val="21"/>
          <w:szCs w:val="21"/>
        </w:rPr>
        <w:t>（二）上年度亩均效益综合评价为 </w:t>
      </w:r>
      <w:r>
        <w:rPr>
          <w:rFonts w:hint="default" w:ascii="Times New Roman" w:hAnsi="Times New Roman" w:cs="Times New Roman"/>
          <w:sz w:val="21"/>
          <w:szCs w:val="21"/>
        </w:rPr>
        <w:t>D </w:t>
      </w:r>
      <w:r>
        <w:rPr>
          <w:rFonts w:hint="default" w:ascii="仿宋_GB2312" w:eastAsia="仿宋_GB2312" w:cs="仿宋_GB2312"/>
          <w:sz w:val="21"/>
          <w:szCs w:val="21"/>
        </w:rPr>
        <w:t>类，因逃税骗税、恶意欠薪、故意侵犯知识产权或者在食品药品、生态环境、工程质量、安全生产、消防安全等领域存在违法行为被有关部门查处并列入严重失信名单的企业，不予享受政策。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rPr>
          <w:sz w:val="14"/>
          <w:szCs w:val="14"/>
        </w:rPr>
      </w:pPr>
      <w:r>
        <w:rPr>
          <w:rFonts w:hint="default" w:ascii="仿宋_GB2312" w:eastAsia="仿宋_GB2312" w:cs="仿宋_GB2312"/>
          <w:sz w:val="21"/>
          <w:szCs w:val="21"/>
        </w:rPr>
        <w:t>（三）同一企业同一事项符合两项或两项以上扶持条款的，可就高执行，但不重复享受；同一奖项（认定）在低等次已作奖励的，晋升到高等次时，只奖励差额部分。</w:t>
      </w:r>
    </w:p>
    <w:p>
      <w:r>
        <w:rPr>
          <w:rFonts w:hint="default" w:ascii="仿宋_GB2312" w:eastAsia="仿宋_GB2312" w:cs="仿宋_GB2312"/>
          <w:sz w:val="21"/>
          <w:szCs w:val="21"/>
        </w:rPr>
        <w:t>（四）</w:t>
      </w:r>
      <w:r>
        <w:rPr>
          <w:rFonts w:hint="default" w:ascii="仿宋_GB2312" w:eastAsia="仿宋_GB2312" w:cs="仿宋_GB2312"/>
          <w:spacing w:val="0"/>
          <w:sz w:val="21"/>
          <w:szCs w:val="21"/>
        </w:rPr>
        <w:t>本政策由县政府办公室负责解释，具体工作由政策实施部门承担；</w:t>
      </w:r>
      <w:r>
        <w:rPr>
          <w:rFonts w:hint="default" w:ascii="仿宋_GB2312" w:eastAsia="仿宋_GB2312" w:cs="仿宋_GB2312"/>
          <w:sz w:val="21"/>
          <w:szCs w:val="21"/>
        </w:rPr>
        <w:t>其他已发布的各项政策与本政策不一致的，以本政策为准。政策实施过程中如遇上级法律法规和重大政策变化，本政策作相应调整。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lMGM3Nzc2NGQ2OGI2MDgwMjUxZjNiMGVhMzM5MmUifQ=="/>
  </w:docVars>
  <w:rsids>
    <w:rsidRoot w:val="00000000"/>
    <w:rsid w:val="60BA7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2024-04-12T02:29:45Z</dcterms:created>
  <dc:creator>86180</dc:creator>
  <cp:lastModifiedBy>傲娇的小孩</cp:lastModifiedBy>
  <dcterms:modified xsi:type="dcterms:W3CDTF">2024-04-12T02:30:15Z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56DB88A75F0A42D6B59AEE170669C6A4_12</vt:lpwstr>
  </property>
</Properties>
</file>