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70" w:lineRule="atLeast"/>
        <w:ind w:left="0"/>
        <w:jc w:val="center"/>
        <w:textAlignment w:val="bottom"/>
        <w:outlineLvl w:val="9"/>
        <w:rPr>
          <w:rFonts w:hint="eastAsia" w:ascii="黑体" w:hAnsi="黑体" w:eastAsia="黑体" w:cs="黑体"/>
          <w:sz w:val="44"/>
          <w:szCs w:val="44"/>
        </w:rPr>
      </w:pPr>
      <w:r>
        <w:rPr>
          <w:rFonts w:hint="eastAsia" w:ascii="黑体" w:hAnsi="黑体" w:eastAsia="黑体" w:cs="黑体"/>
          <w:sz w:val="44"/>
          <w:szCs w:val="44"/>
        </w:rPr>
        <w:t>关于公布</w:t>
      </w:r>
      <w:r>
        <w:rPr>
          <w:rFonts w:hint="eastAsia" w:ascii="黑体" w:hAnsi="黑体" w:eastAsia="黑体" w:cs="黑体"/>
          <w:sz w:val="44"/>
          <w:szCs w:val="44"/>
          <w:lang w:val="en-US" w:eastAsia="zh-CN"/>
        </w:rPr>
        <w:t>2021年度县</w:t>
      </w:r>
      <w:r>
        <w:rPr>
          <w:rFonts w:hint="eastAsia" w:ascii="黑体" w:hAnsi="黑体" w:eastAsia="黑体" w:cs="黑体"/>
          <w:sz w:val="44"/>
          <w:szCs w:val="44"/>
        </w:rPr>
        <w:t>政府及</w:t>
      </w:r>
      <w:r>
        <w:rPr>
          <w:rFonts w:hint="eastAsia" w:ascii="黑体" w:hAnsi="黑体" w:eastAsia="黑体" w:cs="黑体"/>
          <w:sz w:val="44"/>
          <w:szCs w:val="44"/>
          <w:lang w:val="en-US" w:eastAsia="zh-CN"/>
        </w:rPr>
        <w:t>县</w:t>
      </w:r>
      <w:r>
        <w:rPr>
          <w:rFonts w:hint="eastAsia" w:ascii="黑体" w:hAnsi="黑体" w:eastAsia="黑体" w:cs="黑体"/>
          <w:sz w:val="44"/>
          <w:szCs w:val="44"/>
        </w:rPr>
        <w:t>政府办公室行政规范性文件清理结果的通知</w:t>
      </w:r>
    </w:p>
    <w:p>
      <w:pPr>
        <w:spacing w:line="480" w:lineRule="exact"/>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w:t>
      </w:r>
      <w:r>
        <w:rPr>
          <w:rFonts w:ascii="楷体_GB2312" w:hAnsi="楷体_GB2312" w:eastAsia="楷体_GB2312" w:cs="楷体_GB2312"/>
          <w:sz w:val="36"/>
          <w:szCs w:val="36"/>
        </w:rPr>
        <w:t>征求意见稿）</w:t>
      </w:r>
    </w:p>
    <w:p>
      <w:pPr>
        <w:spacing w:line="480" w:lineRule="exact"/>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bottom"/>
        <w:outlineLvl w:val="9"/>
        <w:rPr>
          <w:rFonts w:ascii="仿宋_GB2312" w:hAnsi="宋体" w:eastAsia="仿宋_GB2312"/>
          <w:sz w:val="32"/>
          <w:szCs w:val="32"/>
        </w:rPr>
      </w:pPr>
      <w:r>
        <w:rPr>
          <w:rFonts w:hint="eastAsia" w:ascii="仿宋_GB2312" w:hAnsi="宋体" w:eastAsia="仿宋_GB2312"/>
          <w:sz w:val="32"/>
          <w:szCs w:val="32"/>
        </w:rPr>
        <w:t>县级有关部门，各乡镇人民政府、街道办事处：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outlineLvl w:val="9"/>
        <w:rPr>
          <w:rFonts w:ascii="仿宋_GB2312" w:hAnsi="宋体" w:eastAsia="仿宋_GB2312"/>
          <w:bCs/>
          <w:sz w:val="32"/>
          <w:szCs w:val="32"/>
        </w:rPr>
      </w:pPr>
      <w:r>
        <w:rPr>
          <w:rFonts w:hint="eastAsia" w:ascii="仿宋_GB2312" w:hAnsi="宋体" w:eastAsia="仿宋_GB2312"/>
          <w:sz w:val="32"/>
          <w:szCs w:val="32"/>
        </w:rPr>
        <w:t>根据《浙江省行政规范性文件管理办法》（</w:t>
      </w:r>
      <w:r>
        <w:rPr>
          <w:rFonts w:ascii="仿宋_GB2312" w:hAnsi="宋体" w:eastAsia="仿宋_GB2312"/>
          <w:sz w:val="32"/>
          <w:szCs w:val="32"/>
        </w:rPr>
        <w:t>省政府令第3</w:t>
      </w:r>
      <w:r>
        <w:rPr>
          <w:rFonts w:hint="eastAsia" w:ascii="仿宋_GB2312" w:hAnsi="宋体" w:eastAsia="仿宋_GB2312"/>
          <w:sz w:val="32"/>
          <w:szCs w:val="32"/>
        </w:rPr>
        <w:t>7</w:t>
      </w:r>
      <w:r>
        <w:rPr>
          <w:rFonts w:ascii="仿宋_GB2312" w:hAnsi="宋体" w:eastAsia="仿宋_GB2312"/>
          <w:sz w:val="32"/>
          <w:szCs w:val="32"/>
        </w:rPr>
        <w:t>2号</w:t>
      </w:r>
      <w:r>
        <w:rPr>
          <w:rFonts w:hint="eastAsia" w:ascii="仿宋_GB2312" w:hAnsi="宋体" w:eastAsia="仿宋_GB2312"/>
          <w:sz w:val="32"/>
          <w:szCs w:val="32"/>
        </w:rPr>
        <w:t>）有关规定，结合根据《</w:t>
      </w:r>
      <w:r>
        <w:rPr>
          <w:rFonts w:hint="eastAsia" w:ascii="仿宋_GB2312" w:hAnsi="宋体" w:eastAsia="仿宋_GB2312"/>
          <w:sz w:val="32"/>
          <w:szCs w:val="32"/>
          <w:lang w:eastAsia="zh-CN"/>
        </w:rPr>
        <w:t>国务院办公厅</w:t>
      </w:r>
      <w:r>
        <w:rPr>
          <w:rFonts w:hint="eastAsia" w:ascii="仿宋_GB2312" w:hAnsi="宋体" w:eastAsia="仿宋_GB2312"/>
          <w:sz w:val="32"/>
          <w:szCs w:val="32"/>
        </w:rPr>
        <w:t>关于开展涉及</w:t>
      </w:r>
      <w:r>
        <w:rPr>
          <w:rFonts w:hint="eastAsia" w:ascii="仿宋_GB2312" w:hAnsi="宋体" w:eastAsia="仿宋_GB2312"/>
          <w:sz w:val="32"/>
          <w:szCs w:val="32"/>
          <w:lang w:eastAsia="zh-CN"/>
        </w:rPr>
        <w:t>长江流域保护</w:t>
      </w:r>
      <w:r>
        <w:rPr>
          <w:rFonts w:hint="eastAsia" w:ascii="仿宋_GB2312" w:hAnsi="宋体" w:eastAsia="仿宋_GB2312"/>
          <w:sz w:val="32"/>
          <w:szCs w:val="32"/>
        </w:rPr>
        <w:t>法规、规章和行政规范性文件清理工作的通知》（国办函〔202</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25</w:t>
      </w:r>
      <w:r>
        <w:rPr>
          <w:rFonts w:hint="eastAsia" w:ascii="仿宋_GB2312" w:hAnsi="宋体" w:eastAsia="仿宋_GB2312"/>
          <w:sz w:val="32"/>
          <w:szCs w:val="32"/>
        </w:rPr>
        <w:t>号）</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《国务院办公厅关于开展涉及行政处罚内容的行政法规、规章和行政规范性文件清理工作的通知》（国办函〔2021〕39号）以及</w:t>
      </w:r>
      <w:r>
        <w:rPr>
          <w:rFonts w:hint="eastAsia" w:ascii="仿宋_GB2312" w:hAnsi="宋体" w:eastAsia="仿宋_GB2312"/>
          <w:sz w:val="32"/>
          <w:szCs w:val="32"/>
        </w:rPr>
        <w:t>《浙江省司法厅关于开展行政规范性文件专项清理工作的通知》工作的要求，我</w:t>
      </w:r>
      <w:r>
        <w:rPr>
          <w:rFonts w:hint="eastAsia" w:ascii="仿宋_GB2312" w:hAnsi="宋体" w:eastAsia="仿宋_GB2312"/>
          <w:sz w:val="32"/>
          <w:szCs w:val="32"/>
          <w:lang w:val="en-US" w:eastAsia="zh-CN"/>
        </w:rPr>
        <w:t>县</w:t>
      </w:r>
      <w:r>
        <w:rPr>
          <w:rFonts w:hint="eastAsia" w:ascii="仿宋_GB2312" w:hAnsi="宋体" w:eastAsia="仿宋_GB2312"/>
          <w:sz w:val="32"/>
          <w:szCs w:val="32"/>
        </w:rPr>
        <w:t>对</w:t>
      </w:r>
      <w:r>
        <w:rPr>
          <w:rFonts w:hint="eastAsia" w:ascii="仿宋_GB2312" w:hAnsi="宋体" w:eastAsia="仿宋_GB2312"/>
          <w:sz w:val="32"/>
          <w:szCs w:val="32"/>
          <w:lang w:val="en-US" w:eastAsia="zh-CN"/>
        </w:rPr>
        <w:t>截止</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月3</w:t>
      </w:r>
      <w:r>
        <w:rPr>
          <w:rFonts w:hint="eastAsia" w:ascii="仿宋_GB2312" w:hAnsi="宋体" w:eastAsia="仿宋_GB2312"/>
          <w:sz w:val="32"/>
          <w:szCs w:val="32"/>
          <w:lang w:val="en-US" w:eastAsia="zh-CN"/>
        </w:rPr>
        <w:t>1</w:t>
      </w:r>
      <w:r>
        <w:rPr>
          <w:rFonts w:hint="eastAsia" w:ascii="仿宋_GB2312" w:hAnsi="宋体" w:eastAsia="仿宋_GB2312"/>
          <w:sz w:val="32"/>
          <w:szCs w:val="32"/>
        </w:rPr>
        <w:t>日现行有效的</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政府及</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政府办公室行政规范性文件进行了专项清理。经</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政府同意，现将清理结果予以公布。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bottom"/>
        <w:outlineLvl w:val="9"/>
        <w:rPr>
          <w:rFonts w:hint="eastAsia" w:ascii="仿宋_GB2312" w:hAnsi="宋体" w:eastAsia="仿宋_GB2312"/>
          <w:sz w:val="32"/>
          <w:szCs w:val="32"/>
        </w:rPr>
      </w:pPr>
      <w:r>
        <w:rPr>
          <w:rFonts w:hint="eastAsia" w:ascii="仿宋_GB2312" w:hAnsi="宋体" w:eastAsia="仿宋_GB2312"/>
          <w:sz w:val="32"/>
          <w:szCs w:val="32"/>
        </w:rPr>
        <w:t>本通知自公布之日起施行。</w:t>
      </w:r>
    </w:p>
    <w:p>
      <w:pPr>
        <w:spacing w:line="480" w:lineRule="exact"/>
        <w:ind w:firstLine="640" w:firstLineChars="200"/>
        <w:rPr>
          <w:rFonts w:hint="eastAsia" w:ascii="仿宋_GB2312" w:hAnsi="宋体" w:eastAsia="仿宋_GB2312"/>
          <w:sz w:val="32"/>
          <w:szCs w:val="32"/>
        </w:rPr>
      </w:pPr>
    </w:p>
    <w:p>
      <w:pPr>
        <w:spacing w:line="480" w:lineRule="exact"/>
        <w:ind w:firstLine="640" w:firstLineChars="200"/>
        <w:rPr>
          <w:rFonts w:hint="eastAsia" w:ascii="仿宋_GB2312" w:hAnsi="宋体" w:eastAsia="仿宋_GB2312"/>
          <w:sz w:val="32"/>
          <w:szCs w:val="32"/>
        </w:rPr>
      </w:pPr>
    </w:p>
    <w:p>
      <w:pPr>
        <w:spacing w:line="480" w:lineRule="exact"/>
        <w:ind w:firstLine="640" w:firstLineChars="200"/>
        <w:rPr>
          <w:rFonts w:hint="eastAsia" w:ascii="仿宋_GB2312" w:hAnsi="宋体" w:eastAsia="仿宋_GB2312"/>
          <w:sz w:val="32"/>
          <w:szCs w:val="32"/>
        </w:rPr>
      </w:pPr>
    </w:p>
    <w:p>
      <w:pPr>
        <w:spacing w:line="480" w:lineRule="exact"/>
        <w:ind w:firstLine="640" w:firstLineChars="200"/>
        <w:rPr>
          <w:rFonts w:hint="eastAsia" w:ascii="仿宋_GB2312" w:hAnsi="宋体" w:eastAsia="仿宋_GB2312"/>
          <w:sz w:val="32"/>
          <w:szCs w:val="32"/>
        </w:rPr>
      </w:pPr>
    </w:p>
    <w:p>
      <w:pPr>
        <w:spacing w:line="480" w:lineRule="exact"/>
        <w:ind w:firstLine="640" w:firstLineChars="200"/>
        <w:rPr>
          <w:rFonts w:ascii="仿宋_GB2312" w:hAnsi="宋体" w:eastAsia="仿宋_GB2312"/>
          <w:sz w:val="32"/>
          <w:szCs w:val="32"/>
        </w:rPr>
      </w:pPr>
    </w:p>
    <w:p>
      <w:pPr>
        <w:spacing w:line="480" w:lineRule="exact"/>
        <w:rPr>
          <w:rFonts w:hint="eastAsia" w:ascii="仿宋_GB2312" w:hAnsi="宋体" w:eastAsia="仿宋_GB2312"/>
          <w:sz w:val="32"/>
          <w:szCs w:val="32"/>
        </w:rPr>
        <w:sectPr>
          <w:headerReference r:id="rId6" w:type="first"/>
          <w:footerReference r:id="rId9" w:type="first"/>
          <w:headerReference r:id="rId5" w:type="default"/>
          <w:footerReference r:id="rId7" w:type="default"/>
          <w:footerReference r:id="rId8" w:type="even"/>
          <w:pgSz w:w="11906" w:h="16838"/>
          <w:pgMar w:top="2098" w:right="1474" w:bottom="1985" w:left="1588" w:header="851" w:footer="1474" w:gutter="0"/>
          <w:pgNumType w:fmt="numberInDash"/>
          <w:cols w:space="720" w:num="1"/>
          <w:docGrid w:type="lines" w:linePitch="312" w:charSpace="0"/>
        </w:sectPr>
      </w:pP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停止执行</w:t>
      </w:r>
      <w:r>
        <w:rPr>
          <w:rFonts w:hint="eastAsia" w:ascii="黑体" w:hAnsi="黑体" w:eastAsia="黑体" w:cs="黑体"/>
          <w:sz w:val="44"/>
          <w:szCs w:val="44"/>
        </w:rPr>
        <w:t>的行政规范性文件目录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09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blHeader/>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宋体" w:hAnsi="宋体"/>
                <w:b/>
                <w:color w:val="000000"/>
                <w:sz w:val="24"/>
              </w:rPr>
            </w:pPr>
            <w:r>
              <w:rPr>
                <w:rFonts w:hint="eastAsia" w:ascii="宋体" w:hAnsi="宋体"/>
                <w:b/>
                <w:color w:val="000000"/>
                <w:sz w:val="24"/>
              </w:rPr>
              <w:t>序号</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宋体" w:hAnsi="宋体"/>
                <w:b/>
                <w:color w:val="000000"/>
                <w:sz w:val="24"/>
              </w:rPr>
            </w:pPr>
            <w:r>
              <w:rPr>
                <w:rFonts w:hint="eastAsia" w:ascii="宋体" w:hAnsi="宋体"/>
                <w:b/>
                <w:color w:val="000000"/>
                <w:sz w:val="24"/>
              </w:rPr>
              <w:t>文件名称</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宋体" w:hAnsi="宋体"/>
                <w:b/>
                <w:color w:val="000000"/>
                <w:sz w:val="24"/>
              </w:rPr>
            </w:pPr>
            <w:r>
              <w:rPr>
                <w:rFonts w:hint="eastAsia" w:ascii="宋体" w:hAnsi="宋体"/>
                <w:b/>
                <w:color w:val="000000"/>
                <w:sz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楷体" w:hAnsi="楷体" w:eastAsia="楷体" w:cs="楷体"/>
                <w:b w:val="0"/>
                <w:bCs/>
                <w:color w:val="000000"/>
                <w:sz w:val="24"/>
                <w:lang w:val="en-US" w:eastAsia="zh-CN"/>
              </w:rPr>
            </w:pPr>
            <w:r>
              <w:rPr>
                <w:rFonts w:hint="eastAsia" w:ascii="楷体" w:hAnsi="楷体" w:eastAsia="楷体" w:cs="楷体"/>
                <w:b w:val="0"/>
                <w:bCs/>
                <w:color w:val="000000"/>
                <w:sz w:val="24"/>
                <w:lang w:val="en-US" w:eastAsia="zh-CN"/>
              </w:rPr>
              <w:t>1</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宋体" w:hAnsi="宋体"/>
                <w:b/>
                <w:color w:val="000000"/>
                <w:sz w:val="24"/>
              </w:rPr>
            </w:pPr>
            <w:r>
              <w:rPr>
                <w:rFonts w:hint="eastAsia" w:ascii="楷体" w:hAnsi="楷体" w:eastAsia="楷体" w:cs="楷体"/>
                <w:color w:val="auto"/>
                <w:sz w:val="24"/>
                <w:szCs w:val="24"/>
                <w:lang w:val="en-US" w:eastAsia="zh-CN"/>
              </w:rPr>
              <w:t>关于加快推进新昌县国内物流产业转型发展的实施意见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新政发〔2012〕1号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2</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关于加快发展新昌县国际物流业的若干意见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新政发〔2012〕30号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3</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新昌县县长质量奖评审管理办法</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新政发〔2013〕3号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4</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新昌县人民政府关于公布新昌县征地区片综合价的通知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新政发〔2014〕45号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5</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关于进一步促进电子商务发展的若干意见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新政发〔2016〕10号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6</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新昌县人民政府关于加快建筑业发展的若干意见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新政发〔2017〕91号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7</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新昌县人民政府关于印发新昌县国有土地上房屋征收补偿补助与奖励实施规定的通知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新政发〔2019〕16号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kern w:val="0"/>
                <w:sz w:val="24"/>
                <w:szCs w:val="24"/>
              </w:rPr>
            </w:pPr>
            <w:r>
              <w:rPr>
                <w:rFonts w:hint="eastAsia" w:ascii="楷体" w:hAnsi="楷体" w:eastAsia="楷体" w:cs="楷体"/>
                <w:b w:val="0"/>
                <w:bCs/>
                <w:color w:val="auto"/>
                <w:sz w:val="24"/>
                <w:szCs w:val="24"/>
                <w:lang w:val="en-US" w:eastAsia="zh-CN"/>
              </w:rPr>
              <w:t>8</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关于印发新昌县气象灾害应急准备工作认证管理办法的通知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新政办发〔2009〕196号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lang w:val="en-US" w:eastAsia="zh-CN"/>
              </w:rPr>
              <w:t>9</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关于印发新昌县农村村民建房建设管理实施细则的通知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rPr>
            </w:pPr>
            <w:r>
              <w:rPr>
                <w:rFonts w:hint="eastAsia" w:ascii="楷体" w:hAnsi="楷体" w:eastAsia="楷体" w:cs="楷体"/>
                <w:b w:val="0"/>
                <w:bCs/>
                <w:color w:val="auto"/>
                <w:sz w:val="24"/>
                <w:szCs w:val="24"/>
                <w:lang w:val="en-US" w:eastAsia="zh-CN"/>
              </w:rPr>
              <w:t>10</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关于印发新昌县农村生活污水处理设施运行维护管理办法（试行）的通知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新政办发〔2015〕147号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rPr>
            </w:pPr>
            <w:r>
              <w:rPr>
                <w:rFonts w:hint="eastAsia" w:ascii="楷体" w:hAnsi="楷体" w:eastAsia="楷体" w:cs="楷体"/>
                <w:b w:val="0"/>
                <w:bCs/>
                <w:color w:val="auto"/>
                <w:sz w:val="24"/>
                <w:szCs w:val="24"/>
                <w:lang w:val="en-US" w:eastAsia="zh-CN"/>
              </w:rPr>
              <w:t>11</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新昌县人民政府办公室关于印发县级二三产业财政奖补政策兑现工作实施细则的通知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新政办发〔2015〕152号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12</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关于印发新昌县创新券使用管理办法的通知（附创新券使用管理办法）</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13</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新昌县人民政府办公室关于促进医药流通服务企业发展的若干意见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新政办发〔2017〕141号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14</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关于在市场体系建设中建立公平竞争审查制度的通知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15</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新昌县人民政府办公室关于进一步规范县外建筑工程、市政公用工程施工企业进新投标与标后备案管理的意见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16</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新昌县人民政府办公室关于印发鼓励推动仿制药质量和疗效一致性评价工作专项正常的通知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新政办发﹝2018﹞72号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17</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新昌县人民政府办公室关于进一步促进小微企业创新发展的实施意见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18</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新昌县人民政府办公室关于印发新昌县2020年度金融支持经济发展考核评价办法的通知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新政办发〔2020〕15号</w:t>
            </w:r>
          </w:p>
        </w:tc>
      </w:tr>
    </w:tbl>
    <w:p>
      <w:pPr>
        <w:rPr>
          <w:rFonts w:ascii="黑体" w:hAnsi="黑体" w:eastAsia="黑体"/>
          <w:color w:val="333333"/>
          <w:sz w:val="32"/>
          <w:szCs w:val="21"/>
        </w:rPr>
        <w:sectPr>
          <w:pgSz w:w="16838" w:h="11906" w:orient="landscape"/>
          <w:pgMar w:top="1588" w:right="2098" w:bottom="1474" w:left="1985" w:header="851" w:footer="1474" w:gutter="0"/>
          <w:pgNumType w:fmt="numberInDash"/>
          <w:cols w:space="720" w:num="1"/>
          <w:docGrid w:type="lines" w:linePitch="312" w:charSpace="0"/>
        </w:sect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修改的行政规范性文件目录和修改内容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167"/>
        <w:gridCol w:w="1920"/>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eastAsia="宋体"/>
                <w:color w:val="000000"/>
                <w:sz w:val="22"/>
                <w:szCs w:val="22"/>
                <w:lang w:val="en-US" w:eastAsia="zh-CN"/>
              </w:rPr>
            </w:pPr>
            <w:r>
              <w:rPr>
                <w:rFonts w:hint="eastAsia" w:ascii="Calibri" w:eastAsia="宋体"/>
                <w:color w:val="000000"/>
                <w:sz w:val="22"/>
                <w:szCs w:val="22"/>
                <w:lang w:val="en-US" w:eastAsia="zh-CN"/>
              </w:rPr>
              <w:t>序号</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default"/>
                <w:color w:val="000000"/>
                <w:sz w:val="22"/>
                <w:szCs w:val="22"/>
                <w:lang w:val="en-US" w:eastAsia="zh-CN"/>
              </w:rPr>
            </w:pPr>
            <w:r>
              <w:rPr>
                <w:rFonts w:hint="eastAsia" w:ascii="Calibri" w:eastAsia="宋体"/>
                <w:color w:val="000000"/>
                <w:sz w:val="22"/>
                <w:szCs w:val="22"/>
                <w:lang w:val="en-US" w:eastAsia="zh-CN"/>
              </w:rPr>
              <w:t>文件名称</w:t>
            </w:r>
          </w:p>
        </w:tc>
        <w:tc>
          <w:tcPr>
            <w:tcW w:w="19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default"/>
                <w:color w:val="000000"/>
                <w:sz w:val="22"/>
                <w:szCs w:val="22"/>
                <w:lang w:val="en-US" w:eastAsia="zh-CN"/>
              </w:rPr>
            </w:pPr>
            <w:r>
              <w:rPr>
                <w:rFonts w:hint="eastAsia" w:ascii="Calibri" w:eastAsia="宋体"/>
                <w:color w:val="000000"/>
                <w:sz w:val="22"/>
                <w:szCs w:val="22"/>
                <w:lang w:val="en-US" w:eastAsia="zh-CN"/>
              </w:rPr>
              <w:t>文号</w:t>
            </w:r>
          </w:p>
        </w:tc>
        <w:tc>
          <w:tcPr>
            <w:tcW w:w="6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default"/>
                <w:color w:val="000000"/>
                <w:sz w:val="22"/>
                <w:szCs w:val="22"/>
                <w:lang w:val="en-US" w:eastAsia="zh-CN"/>
              </w:rPr>
            </w:pPr>
            <w:r>
              <w:rPr>
                <w:rFonts w:hint="eastAsia" w:ascii="Calibri" w:eastAsia="宋体"/>
                <w:color w:val="000000"/>
                <w:sz w:val="22"/>
                <w:szCs w:val="22"/>
                <w:lang w:val="en-US" w:eastAsia="zh-CN"/>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新昌县企业投资项目“标准地+承诺制”改革实施方案（试行）</w:t>
            </w:r>
          </w:p>
        </w:tc>
        <w:tc>
          <w:tcPr>
            <w:tcW w:w="19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新政发〔2018〕</w:t>
            </w:r>
          </w:p>
          <w:p>
            <w:pPr>
              <w:ind w:left="1" w:leftChars="0" w:right="0" w:rightChars="0" w:firstLine="0" w:firstLineChars="0"/>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100号</w:t>
            </w:r>
          </w:p>
        </w:tc>
        <w:tc>
          <w:tcPr>
            <w:tcW w:w="6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480" w:firstLineChars="2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根据《国家发展改革</w:t>
            </w:r>
            <w:bookmarkStart w:id="0" w:name="_GoBack"/>
            <w:bookmarkEnd w:id="0"/>
            <w:r>
              <w:rPr>
                <w:rFonts w:hint="eastAsia" w:ascii="楷体" w:hAnsi="楷体" w:eastAsia="楷体" w:cs="楷体"/>
                <w:sz w:val="24"/>
                <w:szCs w:val="24"/>
                <w:lang w:val="en-US" w:eastAsia="zh-CN"/>
              </w:rPr>
              <w:t>委办公厅关于开展失信约束措施清理规范工作的通知》要求，废止文件中的附件6-《新昌县企业投资项目承诺制改革信用评价及联合奖惩实施细则》。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新昌县人民政府办公室关于印发新昌县农村饮用水安全运行管理办法的通知</w:t>
            </w:r>
          </w:p>
          <w:p>
            <w:pPr>
              <w:jc w:val="center"/>
              <w:rPr>
                <w:rFonts w:hint="eastAsia" w:ascii="楷体" w:hAnsi="楷体" w:eastAsia="楷体" w:cs="楷体"/>
                <w:color w:val="000000"/>
                <w:sz w:val="24"/>
                <w:szCs w:val="24"/>
                <w:lang w:val="en-US" w:eastAsia="zh-CN"/>
              </w:rPr>
            </w:pPr>
          </w:p>
        </w:tc>
        <w:tc>
          <w:tcPr>
            <w:tcW w:w="19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 xml:space="preserve">新政办发〔2020〕 </w:t>
            </w:r>
          </w:p>
          <w:p>
            <w:pPr>
              <w:ind w:left="0" w:leftChars="0" w:firstLine="0" w:firstLineChars="0"/>
              <w:jc w:val="both"/>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45 号</w:t>
            </w:r>
          </w:p>
          <w:p>
            <w:pPr>
              <w:jc w:val="center"/>
              <w:rPr>
                <w:rFonts w:hint="eastAsia" w:ascii="楷体" w:hAnsi="楷体" w:eastAsia="楷体" w:cs="楷体"/>
                <w:color w:val="000000"/>
                <w:sz w:val="24"/>
                <w:szCs w:val="24"/>
                <w:lang w:val="en-US" w:eastAsia="zh-CN"/>
              </w:rPr>
            </w:pPr>
          </w:p>
        </w:tc>
        <w:tc>
          <w:tcPr>
            <w:tcW w:w="6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firstLine="480" w:firstLineChars="2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修改如下：1.根据《浙江省行政规范性文件管理办法》相关规定，将文件修改为“经县政府同意，现将《新昌县农村饮用水安全运行管理办法》印发给你们，请认真贯彻实施”。2.取消文件第十条第三项“不落实水费收缴制度的村，原则上不得安排财 </w:t>
            </w:r>
          </w:p>
          <w:p>
            <w:pPr>
              <w:ind w:left="0" w:lef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政补助项目”的内容。3.修改文件第十一条第二款“违反以上任一规定，供水单位可责令改正或停止供水”为“未按时交纳水费的，供水单位按照约定向欠费用户发送《催款通知》，用户在收到《催款通知》15 日内仍未缴纳的，供水单位经书面告知后可以停止供水；擅自改变用水性质和用途，盗用供水、擅自转供用水的，由水行政主管部门责令改正或根据相关法律、法规处以罚款。”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3</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新昌县人民政府办公室关于进一步加强普通建筑用砂石土类矿产资源利用和管理工作的意见</w:t>
            </w:r>
          </w:p>
        </w:tc>
        <w:tc>
          <w:tcPr>
            <w:tcW w:w="19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新政办发〔2021〕13 号</w:t>
            </w:r>
          </w:p>
        </w:tc>
        <w:tc>
          <w:tcPr>
            <w:tcW w:w="6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default" w:ascii="楷体" w:hAnsi="楷体" w:eastAsia="楷体" w:cs="楷体"/>
                <w:sz w:val="24"/>
                <w:szCs w:val="24"/>
                <w:lang w:val="en-US" w:eastAsia="zh-CN"/>
              </w:rPr>
              <w:t>1.</w:t>
            </w:r>
            <w:r>
              <w:rPr>
                <w:rFonts w:hint="eastAsia" w:ascii="楷体" w:hAnsi="楷体" w:eastAsia="楷体" w:cs="楷体"/>
                <w:sz w:val="24"/>
                <w:szCs w:val="24"/>
                <w:lang w:val="en-US" w:eastAsia="zh-CN"/>
              </w:rPr>
              <w:t xml:space="preserve">取消文件第二（三）部分第 </w:t>
            </w:r>
            <w:r>
              <w:rPr>
                <w:rFonts w:hint="default" w:ascii="楷体" w:hAnsi="楷体" w:eastAsia="楷体" w:cs="楷体"/>
                <w:sz w:val="24"/>
                <w:szCs w:val="24"/>
                <w:lang w:val="en-US" w:eastAsia="zh-CN"/>
              </w:rPr>
              <w:t xml:space="preserve">2 </w:t>
            </w:r>
            <w:r>
              <w:rPr>
                <w:rFonts w:hint="eastAsia" w:ascii="楷体" w:hAnsi="楷体" w:eastAsia="楷体" w:cs="楷体"/>
                <w:sz w:val="24"/>
                <w:szCs w:val="24"/>
                <w:lang w:val="en-US" w:eastAsia="zh-CN"/>
              </w:rPr>
              <w:t xml:space="preserve">条“规范大型商混、沥青搅拌企业。实行企业矿石资源来料备案台账制度，督促企业建立来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料及销售台账，不得收购来源不明的矿石资源，不得未经审批开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展矿石资源加工行为。”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2.取消文件第二（三）部分第 4 条“规范加工、销售企业审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批。申请矿石资源加工、销售等相关营业执照的企业，必须具有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合法堆放、加工及销售场地，并经县普通建筑用砂石土类矿产资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源管理办公室（简称县矿管办）联合有关单位进行现场踏勘后，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由市场监管局进行审批。”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3.修改文件第二（四）部分第 3 条“严厉打击未经审批的矿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石资源生产加工行为，一经发现，从速从重查处”变为“严厉打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击未经审批的矿石资源生产加工行为，一经发现，非法开采矿产资源并造成生态环境破坏的生产加工行为，由相应执法部门予以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责令恢复原状、罚款等处理；构成犯罪的，依法移交司法机关追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究刑事责任。”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4.修改文件第四（二）部分“建设局：加强对商混、沥青搅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拌企业的管理，负责建立来料备案登记报备制度。”变为“依法 </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加强对商混、沥青搅拌企业的管理。”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4</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新昌县人民政府办公室关于印发新昌县市容环境卫生责任区管理办法的通知</w:t>
            </w:r>
          </w:p>
        </w:tc>
        <w:tc>
          <w:tcPr>
            <w:tcW w:w="19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新政办发〔2021〕28号</w:t>
            </w:r>
          </w:p>
        </w:tc>
        <w:tc>
          <w:tcPr>
            <w:tcW w:w="6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修改文件二（一）部分第9（2）点“街巷、开放式住宅小区、已村改居的城中村由市容环卫管理部门负责。封闭式实行物业管理的小区，由物业管理单位负责；实行自我管理的封闭式住宅小区，由业主委员会负责；未聘请物业服务企业且未成立业主委员会的封闭式小区、城中村由居（村）民委员会负责。”为“街巷、开放式住宅小区、已村改居的城中村由市容环卫管理部门负责。封闭式实行物业管理的小区，由物业管理单位负责；实行自我管理的封闭式住宅小区、未聘请物业服务企业且未成立业主委员会的封闭式小区、城中村由居（村）民委员会负责。”</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修改文件二（一）部分第13（3）点“责任区内立面保持整洁，建筑物、构筑物外立面和其他附属设施定期清洗、出新。灯光亮化设施完好、无缺损。空调外机安装、广告、店招店牌、遮阳雨棚、卷帘门、阳台封闭等符合规定。建筑物门窗保持整洁完好，无乱涂乱贴等现象；”为“主要街道和重点区域的建筑物、构筑物的所有者、管理者或者使用者应当按照要求定期对建筑物、构筑物外立面进行清洗、修饰，对破损、污损的外立面进行整修。”</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3.修改文件二（一）部分第13（4）点“责任区内按规定做好生活垃圾分类投放工作”为“责任区内按规定做好生活垃圾分类投放管理工作。”</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4.取消文件二（二）部分第17点“责任人应当将市容环境卫生责任牌在其办公或者经营场所的醒目位置公示，并保持整洁、完好”的内容。</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修改文件二（三）部分第24点“责任人未履行相关责任要求的，由综合执法部门责令改正;拒不改正的，予以警告，个人可并处50元以上200元以下罚款，单位可处500元以上2000元以下罚款。”为“责任人未履行相关责任要求的，由综合执法部门责令限期改正;逾期不改正的，对个人处五十元以上二百元以下的罚款，对单位处五百元以上二千元以下的罚款。”</w:t>
            </w:r>
          </w:p>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6.修改文件“本办法自2021年6月1日起施行，具体内容由县建设局负责解释”为“本办法自2021年6月1日起施行。”</w:t>
            </w:r>
          </w:p>
        </w:tc>
      </w:tr>
    </w:tbl>
    <w:p/>
    <w:sectPr>
      <w:headerReference r:id="rId10" w:type="default"/>
      <w:footerReference r:id="rId11"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365" w:lineRule="atLeast"/>
      <w:ind w:left="1" w:right="360" w:firstLine="360" w:firstLineChars="0"/>
      <w:jc w:val="left"/>
      <w:textAlignment w:val="bottom"/>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spacing w:before="0" w:beforeLines="0" w:after="0" w:afterLines="0" w:line="365" w:lineRule="atLeast"/>
                            <w:ind w:left="1" w:right="200" w:rightChars="100" w:firstLine="0" w:firstLineChars="0"/>
                            <w:jc w:val="left"/>
                            <w:textAlignment w:val="bottom"/>
                            <w:rPr>
                              <w:rStyle w:val="6"/>
                              <w:rFonts w:ascii="宋体" w:hAnsi="宋体" w:eastAsia="宋体" w:cs="Times New Roman"/>
                              <w:sz w:val="28"/>
                              <w:szCs w:val="28"/>
                            </w:rPr>
                          </w:pPr>
                          <w:r>
                            <w:rPr>
                              <w:rStyle w:val="6"/>
                              <w:rFonts w:ascii="宋体" w:hAnsi="宋体" w:eastAsia="宋体" w:cs="Times New Roman"/>
                              <w:sz w:val="28"/>
                              <w:szCs w:val="28"/>
                            </w:rPr>
                            <w:fldChar w:fldCharType="begin"/>
                          </w:r>
                          <w:r>
                            <w:rPr>
                              <w:rStyle w:val="6"/>
                              <w:rFonts w:ascii="宋体" w:hAnsi="宋体" w:eastAsia="宋体" w:cs="Times New Roman"/>
                              <w:sz w:val="28"/>
                              <w:szCs w:val="28"/>
                            </w:rPr>
                            <w:instrText xml:space="preserve"> PAGE  \* MERGEFORMAT </w:instrText>
                          </w:r>
                          <w:r>
                            <w:rPr>
                              <w:rStyle w:val="6"/>
                              <w:rFonts w:ascii="宋体" w:hAnsi="宋体" w:eastAsia="宋体" w:cs="Times New Roman"/>
                              <w:sz w:val="28"/>
                              <w:szCs w:val="28"/>
                            </w:rPr>
                            <w:fldChar w:fldCharType="separate"/>
                          </w:r>
                          <w:r>
                            <w:rPr>
                              <w:rStyle w:val="6"/>
                              <w:rFonts w:ascii="宋体" w:hAnsi="宋体" w:eastAsia="宋体" w:cs="Times New Roman"/>
                              <w:sz w:val="28"/>
                              <w:szCs w:val="28"/>
                            </w:rPr>
                            <w:t>- 1 -</w:t>
                          </w:r>
                          <w:r>
                            <w:rPr>
                              <w:rStyle w:val="6"/>
                              <w:rFonts w:ascii="宋体" w:hAnsi="宋体" w:eastAsia="宋体"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widowControl w:val="0"/>
                      <w:snapToGrid w:val="0"/>
                      <w:spacing w:before="0" w:beforeLines="0" w:after="0" w:afterLines="0" w:line="365" w:lineRule="atLeast"/>
                      <w:ind w:left="1" w:right="200" w:rightChars="100" w:firstLine="0" w:firstLineChars="0"/>
                      <w:jc w:val="left"/>
                      <w:textAlignment w:val="bottom"/>
                      <w:rPr>
                        <w:rStyle w:val="6"/>
                        <w:rFonts w:ascii="宋体" w:hAnsi="宋体" w:eastAsia="宋体" w:cs="Times New Roman"/>
                        <w:sz w:val="28"/>
                        <w:szCs w:val="28"/>
                      </w:rPr>
                    </w:pPr>
                    <w:r>
                      <w:rPr>
                        <w:rStyle w:val="6"/>
                        <w:rFonts w:ascii="宋体" w:hAnsi="宋体" w:eastAsia="宋体" w:cs="Times New Roman"/>
                        <w:sz w:val="28"/>
                        <w:szCs w:val="28"/>
                      </w:rPr>
                      <w:fldChar w:fldCharType="begin"/>
                    </w:r>
                    <w:r>
                      <w:rPr>
                        <w:rStyle w:val="6"/>
                        <w:rFonts w:ascii="宋体" w:hAnsi="宋体" w:eastAsia="宋体" w:cs="Times New Roman"/>
                        <w:sz w:val="28"/>
                        <w:szCs w:val="28"/>
                      </w:rPr>
                      <w:instrText xml:space="preserve"> PAGE  \* MERGEFORMAT </w:instrText>
                    </w:r>
                    <w:r>
                      <w:rPr>
                        <w:rStyle w:val="6"/>
                        <w:rFonts w:ascii="宋体" w:hAnsi="宋体" w:eastAsia="宋体" w:cs="Times New Roman"/>
                        <w:sz w:val="28"/>
                        <w:szCs w:val="28"/>
                      </w:rPr>
                      <w:fldChar w:fldCharType="separate"/>
                    </w:r>
                    <w:r>
                      <w:rPr>
                        <w:rStyle w:val="6"/>
                        <w:rFonts w:ascii="宋体" w:hAnsi="宋体" w:eastAsia="宋体" w:cs="Times New Roman"/>
                        <w:sz w:val="28"/>
                        <w:szCs w:val="28"/>
                      </w:rPr>
                      <w:t>- 1 -</w:t>
                    </w:r>
                    <w:r>
                      <w:rPr>
                        <w:rStyle w:val="6"/>
                        <w:rFonts w:ascii="宋体" w:hAnsi="宋体"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spacing w:before="0" w:beforeLines="0" w:after="0" w:afterLines="0" w:line="365" w:lineRule="atLeast"/>
      <w:ind w:left="200" w:leftChars="100" w:right="0" w:firstLine="0" w:firstLineChars="0"/>
      <w:jc w:val="left"/>
      <w:textAlignment w:val="bottom"/>
      <w:rPr>
        <w:rStyle w:val="6"/>
        <w:rFonts w:ascii="宋体" w:hAnsi="宋体" w:eastAsia="宋体" w:cs="Times New Roman"/>
        <w:sz w:val="28"/>
        <w:szCs w:val="28"/>
      </w:rPr>
    </w:pPr>
    <w:r>
      <w:rPr>
        <w:rFonts w:ascii="宋体" w:hAnsi="宋体" w:eastAsia="宋体" w:cs="Times New Roman"/>
        <w:sz w:val="28"/>
        <w:szCs w:val="28"/>
      </w:rPr>
      <w:fldChar w:fldCharType="begin"/>
    </w:r>
    <w:r>
      <w:rPr>
        <w:rStyle w:val="6"/>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6"/>
        <w:rFonts w:ascii="宋体" w:hAnsi="宋体" w:eastAsia="宋体" w:cs="Times New Roman"/>
        <w:sz w:val="28"/>
        <w:szCs w:val="28"/>
      </w:rPr>
      <w:t>- 6 -</w:t>
    </w:r>
    <w:r>
      <w:rPr>
        <w:rFonts w:ascii="宋体" w:hAnsi="宋体" w:eastAsia="宋体" w:cs="Times New Roman"/>
        <w:sz w:val="28"/>
        <w:szCs w:val="28"/>
      </w:rPr>
      <w:fldChar w:fldCharType="end"/>
    </w:r>
  </w:p>
  <w:p>
    <w:pPr>
      <w:widowControl w:val="0"/>
      <w:snapToGrid w:val="0"/>
      <w:spacing w:before="0" w:beforeLines="0" w:after="0" w:afterLines="0" w:line="365" w:lineRule="atLeast"/>
      <w:ind w:left="1" w:right="360" w:firstLine="360" w:firstLineChars="0"/>
      <w:jc w:val="left"/>
      <w:textAlignment w:val="bottom"/>
      <w:rPr>
        <w:rFonts w:ascii="Times New Roman" w:hAnsi="Times New Roman" w:eastAsia="宋体"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365" w:lineRule="atLeast"/>
      <w:ind w:left="1" w:right="0" w:firstLine="0" w:firstLineChars="0"/>
      <w:jc w:val="left"/>
      <w:textAlignment w:val="bottom"/>
      <w:rPr>
        <w:rFonts w:ascii="Times New Roman" w:hAnsi="Times New Roman" w:eastAsia="宋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right="200" w:rightChars="100"/>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 PAGE  \* MERGEFORMAT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ind w:right="200" w:rightChars="100"/>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 PAGE  \* MERGEFORMAT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before="0" w:beforeLines="0" w:after="0" w:afterLines="0" w:line="365" w:lineRule="atLeast"/>
      <w:ind w:left="1" w:right="0" w:firstLine="0" w:firstLineChars="0"/>
      <w:jc w:val="center"/>
      <w:textAlignment w:val="bottom"/>
      <w:rPr>
        <w:rFonts w:ascii="Times New Roman" w:hAnsi="Times New Roman"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before="0" w:beforeLines="0" w:after="0" w:afterLines="0" w:line="365" w:lineRule="atLeast"/>
      <w:ind w:left="1" w:right="0" w:firstLine="0" w:firstLineChars="0"/>
      <w:jc w:val="center"/>
      <w:textAlignment w:val="bottom"/>
      <w:rPr>
        <w:rFonts w:ascii="Times New Roman" w:hAnsi="Times New Roman" w:eastAsia="宋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862CF"/>
    <w:rsid w:val="638A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cp:lastModifiedBy>
  <dcterms:modified xsi:type="dcterms:W3CDTF">2023-04-24T07:44:54Z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B650E5C074144A5CB3520B9C3E04B730</vt:lpwstr>
  </property>
</Properties>
</file>