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宋体" w:hAnsi="宋体" w:eastAsia="宋体"/>
          <w:b/>
          <w:spacing w:val="20"/>
          <w:sz w:val="44"/>
          <w:szCs w:val="44"/>
        </w:rPr>
      </w:pPr>
      <w:r>
        <w:rPr>
          <w:rFonts w:hint="eastAsia" w:ascii="宋体" w:hAnsi="宋体" w:eastAsia="宋体"/>
          <w:b/>
          <w:spacing w:val="20"/>
          <w:sz w:val="44"/>
          <w:szCs w:val="44"/>
        </w:rPr>
        <w:t>201</w:t>
      </w:r>
      <w:r>
        <w:rPr>
          <w:rFonts w:hint="eastAsia" w:ascii="宋体" w:hAnsi="宋体" w:eastAsia="宋体"/>
          <w:b/>
          <w:spacing w:val="2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spacing w:val="20"/>
          <w:sz w:val="44"/>
          <w:szCs w:val="44"/>
        </w:rPr>
        <w:t>年新昌县</w:t>
      </w:r>
      <w:r>
        <w:rPr>
          <w:rFonts w:hint="eastAsia" w:ascii="宋体" w:hAnsi="宋体" w:eastAsia="宋体"/>
          <w:b/>
          <w:spacing w:val="20"/>
          <w:sz w:val="44"/>
          <w:szCs w:val="44"/>
          <w:lang w:eastAsia="zh-CN"/>
        </w:rPr>
        <w:t>公共资源交易管理委员会办公室政府</w:t>
      </w:r>
      <w:r>
        <w:rPr>
          <w:rFonts w:hint="eastAsia" w:ascii="宋体" w:hAnsi="宋体" w:eastAsia="宋体"/>
          <w:b/>
          <w:spacing w:val="20"/>
          <w:sz w:val="44"/>
          <w:szCs w:val="44"/>
        </w:rPr>
        <w:t>信息公开年度报告</w:t>
      </w: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2019年3月</w:t>
      </w: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宋体" w:hAnsi="宋体" w:eastAsia="宋体"/>
          <w:b/>
          <w:spacing w:val="20"/>
          <w:sz w:val="36"/>
          <w:szCs w:val="36"/>
        </w:rPr>
      </w:pPr>
      <w:r>
        <w:rPr>
          <w:rFonts w:hint="eastAsia" w:ascii="宋体" w:hAnsi="宋体" w:eastAsia="宋体"/>
          <w:b/>
          <w:spacing w:val="20"/>
          <w:sz w:val="36"/>
          <w:szCs w:val="36"/>
        </w:rPr>
        <w:t>201</w:t>
      </w:r>
      <w:r>
        <w:rPr>
          <w:rFonts w:hint="eastAsia" w:ascii="宋体" w:hAnsi="宋体" w:eastAsia="宋体"/>
          <w:b/>
          <w:spacing w:val="20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/>
          <w:b/>
          <w:spacing w:val="20"/>
          <w:sz w:val="36"/>
          <w:szCs w:val="36"/>
        </w:rPr>
        <w:t>年新昌县</w:t>
      </w:r>
      <w:r>
        <w:rPr>
          <w:rFonts w:hint="eastAsia" w:ascii="宋体" w:hAnsi="宋体" w:eastAsia="宋体"/>
          <w:b/>
          <w:spacing w:val="20"/>
          <w:sz w:val="36"/>
          <w:szCs w:val="36"/>
          <w:lang w:eastAsia="zh-CN"/>
        </w:rPr>
        <w:t>公共资源交易管理委员会办公室政府</w:t>
      </w:r>
      <w:r>
        <w:rPr>
          <w:rFonts w:hint="eastAsia" w:ascii="宋体" w:hAnsi="宋体" w:eastAsia="宋体"/>
          <w:b/>
          <w:spacing w:val="20"/>
          <w:sz w:val="36"/>
          <w:szCs w:val="36"/>
        </w:rPr>
        <w:t>信息公开年度报告</w:t>
      </w:r>
    </w:p>
    <w:p>
      <w:pPr>
        <w:snapToGrid w:val="0"/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40" w:lineRule="exact"/>
        <w:jc w:val="center"/>
        <w:rPr>
          <w:rFonts w:hint="eastAsia" w:ascii="楷体_GB2312" w:hAnsi="楷体_GB2312" w:eastAsia="楷体_GB2312"/>
          <w:szCs w:val="32"/>
        </w:rPr>
      </w:pPr>
      <w:r>
        <w:rPr>
          <w:rFonts w:hint="eastAsia" w:ascii="楷体_GB2312" w:hAnsi="楷体_GB2312" w:eastAsia="楷体_GB2312"/>
          <w:szCs w:val="32"/>
        </w:rPr>
        <w:t>(201</w:t>
      </w:r>
      <w:r>
        <w:rPr>
          <w:rFonts w:hint="eastAsia" w:ascii="楷体_GB2312" w:hAnsi="楷体_GB2312" w:eastAsia="楷体_GB231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/>
          <w:szCs w:val="32"/>
        </w:rPr>
        <w:t>年3月</w:t>
      </w:r>
      <w:r>
        <w:rPr>
          <w:rFonts w:hint="eastAsia" w:ascii="楷体_GB2312" w:hAnsi="楷体_GB2312" w:eastAsia="楷体_GB231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/>
          <w:szCs w:val="32"/>
        </w:rPr>
        <w:t>日)</w:t>
      </w:r>
    </w:p>
    <w:p>
      <w:pPr>
        <w:snapToGrid w:val="0"/>
        <w:spacing w:line="540" w:lineRule="exact"/>
        <w:rPr>
          <w:rFonts w:hint="eastAsia" w:ascii="仿宋_GB231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引  言</w:t>
      </w: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ind w:firstLine="640"/>
        <w:jc w:val="left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本年报是根据《中华人民共和国政府信息公开条例》（以下简称《条例》）要求，由新昌县公管办编制的201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政府信息公开年度报告。全文包括政府信息公开工作基本概况，主动公开政府信息情况，依申请公开政府信息情况，政府信息公开的收费及减免情况，因政府信息公开申请引起的复议、诉讼情况，政府信息公开工作中存在的主要问题和改进措施等。</w:t>
      </w:r>
    </w:p>
    <w:p>
      <w:pPr>
        <w:pStyle w:val="4"/>
        <w:widowControl/>
        <w:spacing w:before="0" w:beforeAutospacing="0" w:after="0" w:afterAutospacing="0" w:line="540" w:lineRule="exact"/>
        <w:ind w:firstLine="640" w:firstLineChars="200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一、基本概况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pacing w:val="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年，我办政府信息公开工作严格贯彻落实</w:t>
      </w:r>
      <w:r>
        <w:rPr>
          <w:rFonts w:hint="eastAsia" w:ascii="仿宋_GB2312" w:hAnsi="仿宋"/>
          <w:szCs w:val="32"/>
          <w:lang w:eastAsia="zh-CN"/>
        </w:rPr>
        <w:t>《条例》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要求以及</w:t>
      </w:r>
      <w:r>
        <w:rPr>
          <w:rFonts w:hint="eastAsia" w:ascii="仿宋_GB2312" w:hAnsi="仿宋" w:cs="仿宋"/>
          <w:color w:val="000000"/>
          <w:sz w:val="32"/>
          <w:szCs w:val="32"/>
        </w:rPr>
        <w:t>《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新昌县</w:t>
      </w:r>
      <w:r>
        <w:rPr>
          <w:rFonts w:hint="eastAsia" w:ascii="仿宋_GB2312" w:hAnsi="仿宋" w:cs="仿宋"/>
          <w:color w:val="000000"/>
          <w:sz w:val="32"/>
          <w:szCs w:val="32"/>
        </w:rPr>
        <w:t>人民政府办公室关于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做好信息公开工作年度报告公布工作</w:t>
      </w:r>
      <w:r>
        <w:rPr>
          <w:rFonts w:hint="eastAsia" w:ascii="仿宋_GB2312" w:hAnsi="仿宋" w:cs="仿宋"/>
          <w:color w:val="000000"/>
          <w:sz w:val="32"/>
          <w:szCs w:val="32"/>
        </w:rPr>
        <w:t>的通知》等文件精神，加强领导，明确责任，及时部署，积极推动，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，不断提升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工作水平</w:t>
      </w:r>
      <w:r>
        <w:rPr>
          <w:rFonts w:hint="eastAsia" w:ascii="仿宋" w:hAnsi="仿宋" w:eastAsia="仿宋" w:cs="仿宋"/>
          <w:bCs/>
          <w:spacing w:val="6"/>
          <w:kern w:val="2"/>
          <w:sz w:val="32"/>
          <w:szCs w:val="32"/>
          <w:lang w:val="en-US" w:eastAsia="zh-CN" w:bidi="ar"/>
        </w:rPr>
        <w:t>，政府信息公开工作得到全面落实。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公开内容进一步丰富。</w:t>
      </w:r>
      <w:r>
        <w:rPr>
          <w:rFonts w:hint="eastAsia" w:ascii="仿宋_GB2312" w:hAnsi="仿宋" w:cs="仿宋"/>
          <w:color w:val="000000"/>
          <w:sz w:val="32"/>
          <w:szCs w:val="32"/>
        </w:rPr>
        <w:t>根据国务院和省政府有关文件精神，结合我办实际，进一步推进机构信息、政策文件、工作信息、人事信息、财政信息、公共资源交易等政府信息公开内容。在政府门户网站首页专门设立了“信息公开”专栏，及时、完整地主动公开各类法定公开信息。</w:t>
      </w:r>
    </w:p>
    <w:p>
      <w:pPr>
        <w:numPr>
          <w:ilvl w:val="0"/>
          <w:numId w:val="1"/>
        </w:numPr>
        <w:spacing w:line="540" w:lineRule="exact"/>
        <w:ind w:left="0" w:leftChars="0"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公开渠道进一步拓宽。</w:t>
      </w:r>
      <w:r>
        <w:rPr>
          <w:rFonts w:hint="eastAsia" w:ascii="仿宋_GB2312" w:hAnsi="仿宋" w:cs="仿宋"/>
          <w:color w:val="000000"/>
          <w:sz w:val="32"/>
          <w:szCs w:val="32"/>
        </w:rPr>
        <w:t>积极发挥信息公开平台和渠道作用，开展形式多样的政府信息公开。以新昌县政府门户网站及新昌县公共资源交易网为依托，主动公开政府信息；积极探索利用政务微博、微信等新媒体，及时发布各类权威政务信息；充分发挥广播电视、报刊、新闻网站等媒体的作用，扩大发布信息的受众面，增强影响力。</w:t>
      </w:r>
    </w:p>
    <w:p>
      <w:pPr>
        <w:numPr>
          <w:ilvl w:val="0"/>
          <w:numId w:val="1"/>
        </w:numPr>
        <w:spacing w:line="540" w:lineRule="exact"/>
        <w:ind w:left="0" w:leftChars="0"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公开程序进一步规范。</w:t>
      </w:r>
      <w:r>
        <w:rPr>
          <w:rFonts w:hint="eastAsia" w:ascii="仿宋_GB2312" w:hAnsi="仿宋" w:cs="仿宋"/>
          <w:color w:val="000000"/>
          <w:sz w:val="32"/>
          <w:szCs w:val="32"/>
        </w:rPr>
        <w:t>我办切实完善政府信息公开程序，结合本单位工作实际，建立了信息公开发布审核制度。各科室信息公开发布的内容必须经各分管领导审核后，才能发布。新闻动态等工作信息必须经综合科负责人审核后，才能发布。</w:t>
      </w:r>
    </w:p>
    <w:p>
      <w:pPr>
        <w:pStyle w:val="4"/>
        <w:widowControl/>
        <w:spacing w:before="0" w:beforeAutospacing="0" w:after="0" w:afterAutospacing="0" w:line="540" w:lineRule="exact"/>
        <w:ind w:firstLine="640" w:firstLineChars="200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主动公开情况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年，我办严格按照省政府的统一标准，除法律、法规规定不宜公开和必须保密的外，积极主动公开信息，实现政府信息工作透明、公开。截止201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年底，我办主动公开政府信息数3460条，其中，政府网站公开175条，本单位网站公开3180条，政务微博公开55条，政务微信公开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hAnsi="仿宋" w:cs="仿宋"/>
          <w:color w:val="000000"/>
          <w:sz w:val="32"/>
          <w:szCs w:val="32"/>
        </w:rPr>
        <w:t>条，全文电子化率达100%。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依申请公开情况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年度，我办未收到政府信息依申请公开件。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政府信息公开的收费及减免情况</w:t>
      </w:r>
    </w:p>
    <w:p>
      <w:pPr>
        <w:numPr>
          <w:ilvl w:val="0"/>
          <w:numId w:val="0"/>
        </w:numPr>
        <w:spacing w:line="540" w:lineRule="exact"/>
        <w:ind w:left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我办实行政府信息公开零收费。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政府信息公开申请引起的复议、诉讼情况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年度，我办未发生针对政府信息公开事务的行政复议和行政诉讼案件。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存在问题和改进措施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年，我办政府信息公开工作取得了一些成绩和进步，但与国家要求和公众期望比，存在一些问题和不足。主要表现在内容的准确性、及时性及公开范围的扩大等方面，有待下步不断改进与完善。201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cs="仿宋"/>
          <w:color w:val="000000"/>
          <w:sz w:val="32"/>
          <w:szCs w:val="32"/>
        </w:rPr>
        <w:t>年，将不断加大信息公开范围，增设公开栏目，丰富公开内容，使政府信息更加公开、透明和及时。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F0BD3C"/>
    <w:multiLevelType w:val="singleLevel"/>
    <w:tmpl w:val="8BF0BD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69D7E7"/>
    <w:multiLevelType w:val="singleLevel"/>
    <w:tmpl w:val="FF69D7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D31C4"/>
    <w:rsid w:val="73CC0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2019-03-27T02:45:08Z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