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ascii="方正小标宋_GBK" w:eastAsia="方正小标宋_GBK"/>
          <w:w w:val="90"/>
          <w:sz w:val="44"/>
          <w:szCs w:val="44"/>
        </w:rPr>
      </w:pPr>
      <w:r>
        <w:rPr>
          <w:rFonts w:hint="eastAsia" w:ascii="方正小标宋_GBK" w:eastAsia="方正小标宋_GBK"/>
          <w:w w:val="90"/>
          <w:sz w:val="44"/>
          <w:szCs w:val="44"/>
        </w:rPr>
        <w:t>国网新昌县供电公司2020年供电信息公开年报</w:t>
      </w:r>
    </w:p>
    <w:p>
      <w:pPr>
        <w:spacing w:line="520" w:lineRule="exact"/>
        <w:jc w:val="center"/>
        <w:rPr>
          <w:sz w:val="44"/>
          <w:szCs w:val="44"/>
        </w:rPr>
      </w:pPr>
    </w:p>
    <w:p>
      <w:pPr>
        <w:pStyle w:val="21"/>
        <w:spacing w:line="520" w:lineRule="exact"/>
        <w:ind w:firstLine="627" w:firstLineChars="196"/>
        <w:textAlignment w:val="baseline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本年报是根据《中华人民共和国政府信息公开条例》（以下简称《条例》）要求，由国网新昌县供电公司编制的2020年度政府信息公开年度报告。全文包括政府信息公开工作基本概况，主动公开政府信息情况，主动回应社会关切情况，依申请公开政府信息情况，政府信息公开的收费及减免情况，因政府信息公开申请引起的复议、诉讼情况，政府信息公开工作中存在的主要问题和改进措施等。</w:t>
      </w:r>
    </w:p>
    <w:p>
      <w:pPr>
        <w:pStyle w:val="21"/>
        <w:spacing w:line="520" w:lineRule="exact"/>
        <w:ind w:firstLine="627" w:firstLineChars="196"/>
        <w:textAlignment w:val="baseline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sz w:val="32"/>
        </w:rPr>
        <w:t>一、企业供电工作基本情况</w:t>
      </w:r>
    </w:p>
    <w:p>
      <w:pPr>
        <w:pStyle w:val="21"/>
        <w:spacing w:line="520" w:lineRule="exact"/>
        <w:ind w:firstLine="627" w:firstLineChars="196"/>
        <w:textAlignment w:val="baseline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国网新昌县供电公司是国网浙江省电力公司的全资子公司，以建设和运营电网为核心业务，承担着保障更安全、更经济、更清洁、可持续电力供应的基本使命，是具有普遍服务特征的国有企业。</w:t>
      </w:r>
    </w:p>
    <w:p>
      <w:pPr>
        <w:pStyle w:val="21"/>
        <w:spacing w:line="520" w:lineRule="exact"/>
        <w:ind w:firstLine="627" w:firstLineChars="196"/>
        <w:textAlignment w:val="baseline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在服务新昌经济社会发展、服务全县人民美好生活需要的过程中，国网新昌县供电公司不断成长壮大。目前，新昌公司共有职工580人，设有8个职能部室、2个业务支撑和实施机构、5个供电所、1家集体企业，担负着全县25万户电力客户的供电任务。2020年，全年全社会用电量23.23亿千瓦时，同比增长1.75%。售电量22.20亿千瓦时，同比增长1.84%。全年供电最高负荷49.47万千瓦，同比增长4.92%。公司主营业务收入12.65亿元，利润271.35万元，综合电压合格率99.969%，全口径供电可靠率99.9807%，电费回收率100%，全员劳动生产率133.94万元/人·年。截至年底，累计安全生产天数7951天。</w:t>
      </w:r>
    </w:p>
    <w:p>
      <w:pPr>
        <w:pStyle w:val="21"/>
        <w:spacing w:line="520" w:lineRule="exact"/>
        <w:ind w:firstLine="627" w:firstLineChars="196"/>
        <w:textAlignment w:val="baseline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多年来，在上级单位的正确领导和关心支持下，公司取得了一定的成绩，先后荣获全国安康杯竞赛优胜单位、全国电力行业用户满意单位、国家电网公司一流县供电企业、全国文明单位等多项荣誉，连续五年被评为省公司同业对标综合管理标杆单位，连续二十年保持全县行风评议群众评议第一名，连续多年在市公司和县政府绩效考核中保持先进。</w:t>
      </w:r>
    </w:p>
    <w:p>
      <w:pPr>
        <w:pStyle w:val="21"/>
        <w:spacing w:line="520" w:lineRule="exact"/>
        <w:ind w:firstLine="627" w:firstLineChars="196"/>
        <w:textAlignment w:val="baseline"/>
        <w:rPr>
          <w:rFonts w:ascii="黑体" w:hAnsi="仿宋_GB2312" w:eastAsia="黑体"/>
          <w:sz w:val="32"/>
          <w:szCs w:val="22"/>
        </w:rPr>
      </w:pPr>
      <w:r>
        <w:rPr>
          <w:rFonts w:hint="eastAsia" w:ascii="黑体" w:hAnsi="仿宋_GB2312" w:eastAsia="黑体"/>
          <w:sz w:val="32"/>
          <w:szCs w:val="22"/>
        </w:rPr>
        <w:t>二、企业供电信息公开工作情况</w:t>
      </w:r>
    </w:p>
    <w:p>
      <w:pPr>
        <w:pStyle w:val="21"/>
        <w:spacing w:line="520" w:lineRule="exact"/>
        <w:ind w:firstLine="627" w:firstLineChars="196"/>
        <w:textAlignment w:val="baseline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目前，公司对外信息公开的渠道主要通过当地报纸《今日新昌》、新昌电视台、当地网络新昌信息港、新昌县人民政府门户网站、95598系统、营业厅窗口、便民服务中心、浙江省电力公司微信公众号等渠道进行信息公开。</w:t>
      </w:r>
    </w:p>
    <w:p>
      <w:pPr>
        <w:pStyle w:val="21"/>
        <w:spacing w:line="520" w:lineRule="exact"/>
        <w:ind w:firstLine="627" w:firstLineChars="196"/>
        <w:textAlignment w:val="baseline"/>
        <w:rPr>
          <w:rFonts w:ascii="方正仿宋_GBK" w:hAnsi="仿宋_GB2312" w:eastAsia="方正仿宋_GBK"/>
          <w:sz w:val="32"/>
        </w:rPr>
      </w:pPr>
      <w:r>
        <w:rPr>
          <w:rFonts w:hint="eastAsia" w:ascii="方正仿宋_GBK" w:hAnsi="仿宋_GB2312" w:eastAsia="方正仿宋_GBK"/>
          <w:sz w:val="32"/>
        </w:rPr>
        <w:t>公司企业介绍、收费标准、用电业务工作流程及时限、受电工程信息、停电计划、服务承诺及投诉监管电话等均在营业大厅内公开发布，用户可以直接在上墙资料、宣传手册或者通过查询机查询相关信息。停电计划提前7天在当地纸媒《今日新昌》刊登，并同步在营业厅查询机、95598客服系统、浙江省电力微信，网上国网APP上更新。为尽可能扩大告知范围，还在街道、村委、社区、小区等处张贴，重要用户进行书面告知，并实现高压用户计划停电自动短信通知，对于较大范围的停电，在新昌电视台进行提前通告。电量电费信息用户可以通过电费通知单、订阅的短信、微信等渠道获取；对于每年的电网事故限电序位表，也通过《今日新昌》刊登；对于例如营业厅营业时间更改等信息一般采取登报、张贴告知等方式让用户能够方便、快捷的获知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1）公开了用电业务工作流程、用电业务收费项目及依据，方便客户办理用电申请、增值税发票申请、拆表销户申请、电能表校验申请、暂停（暂停恢复）用电申请、变更户名申请、减容用电申请、用电咨询等业务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2）公开了浙江省电网销售电价、电费缴纳方式，提供银行代扣、银行自助终端缴费、网上银行自助缴费、供电营业厅POS机刷银联卡缴费、供电营业厅自助缴费、电费充值卡缴费、支付宝、网上国网APP、微信公众号缴费等缴费方式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（3）公开了供电职工服务守则、员工服务“十个不准”、调度交易服务“十项措施”、供电服务“十项承诺”，接受社会监督，不断提升供电服务水平。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（4）公开了分布式电源并网服务程序，为客户提供方便快捷的并网服务。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（5）公开了国网浙江省电力公司微信公众平台，为客户提供电费电量、实时电量、业扩流程、营业网点、充换电网点、停电信息查询以及充值卡充值、电子账单订阅等全方位便捷服务。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（6）公开了2020年有序用电工作信息。加强电力需求侧管理和有序用电工作，保障电力有序供应和城乡居民生活用电。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（7）公开了受电工程信息。通过浙江省电力用户受电工程市场信息与监管系统，对设计、施工、供货企业信息进行了公开，方便客户自主查询和选择，同时关联业扩流程相关信息供客户跟踪。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（8）通过新昌政府公开信息网，向所有用户主动公开了《国网新昌县供电公司政府信息公开指南》、《国网新昌县供电公司政府信息公开目录》中涵盖的本部门的有关文件、公共服务等非保密的所有信息。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2.依申请信息公开的情况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2020年度共受理网上信息公开申请0件。接受群众电话或当面咨询0次。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3.向监管部门报送信息的情况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每月定期向</w:t>
      </w:r>
      <w:r>
        <w:rPr>
          <w:rFonts w:hint="eastAsia" w:ascii="方正仿宋_GBK" w:hAnsi="仿宋_GB2312" w:eastAsia="方正仿宋_GBK"/>
          <w:sz w:val="32"/>
          <w:szCs w:val="22"/>
          <w:lang w:eastAsia="zh-CN"/>
        </w:rPr>
        <w:t>政</w:t>
      </w:r>
      <w:bookmarkStart w:id="0" w:name="_GoBack"/>
      <w:bookmarkEnd w:id="0"/>
      <w:r>
        <w:rPr>
          <w:rFonts w:hint="eastAsia" w:ascii="方正仿宋_GBK" w:hAnsi="仿宋_GB2312" w:eastAsia="方正仿宋_GBK"/>
          <w:sz w:val="32"/>
          <w:szCs w:val="22"/>
        </w:rPr>
        <w:t>府相关部门编写上报《供电专报》，如实反映全市用电情况、2020年度重点项目用电配套情况、镇乡（街道）工业用电量统计分析等。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向县委办、县府办、经信局等政府部门报送有序用电方案、保供电方案、重要用户、应急预案、突发事件等。</w:t>
      </w:r>
    </w:p>
    <w:p>
      <w:pPr>
        <w:pStyle w:val="21"/>
        <w:spacing w:line="520" w:lineRule="exact"/>
        <w:ind w:firstLine="630" w:firstLineChars="196"/>
        <w:textAlignment w:val="baseline"/>
        <w:rPr>
          <w:rFonts w:ascii="黑体" w:hAnsi="仿宋_GB2312" w:eastAsia="黑体"/>
          <w:b/>
          <w:sz w:val="32"/>
          <w:szCs w:val="22"/>
        </w:rPr>
      </w:pPr>
      <w:r>
        <w:rPr>
          <w:rFonts w:hint="eastAsia" w:ascii="黑体" w:hAnsi="仿宋_GB2312" w:eastAsia="黑体"/>
          <w:b/>
          <w:sz w:val="32"/>
          <w:szCs w:val="22"/>
        </w:rPr>
        <w:t>三、企业供电信息公开工作待改进情况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2020年，公司将对以下几点做进一步加强和提升：一是加强信息公开制度建设，严格按照信息公开要求，不断丰富政务信息公开内容，维护用户的合法权益，提升服务质量。二是深入推进供电信息公开，避免流于形式，真正能够落地落实落细，更好维护人民群众利益，助力优化营商环境。三是加强部门衔接，充分听取服务对象等各方面的意见，加强水、电、气等部门相关制度衔接，让服务更阳光更透明。</w:t>
      </w:r>
    </w:p>
    <w:p>
      <w:pPr>
        <w:pStyle w:val="21"/>
        <w:spacing w:line="520" w:lineRule="exact"/>
        <w:ind w:firstLine="630" w:firstLineChars="196"/>
        <w:textAlignment w:val="baseline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b/>
          <w:sz w:val="32"/>
        </w:rPr>
        <w:t>四、企业年度开展的特色工作</w:t>
      </w:r>
    </w:p>
    <w:p>
      <w:pPr>
        <w:pStyle w:val="22"/>
        <w:widowControl w:val="0"/>
        <w:adjustRightInd w:val="0"/>
        <w:snapToGrid w:val="0"/>
        <w:spacing w:line="560" w:lineRule="exact"/>
        <w:ind w:firstLine="640" w:firstLineChars="200"/>
        <w:textAlignment w:val="baseline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.减负赋能，营商环境持续优化。实施“业扩一站通”报装模式，严格里程碑计划管控，高压平均接电时长压缩至17.89个工作日。推广“网上国网”8万户。全面落实95折电价优惠政策，推广“转供电费码”1100余个，减少企业用电成本6000余万元。拓展需求响应企业65户、签约响应负荷5.23万千瓦，建成秒级可中断负荷4户、分钟级可调节负荷4户，引导1100余低压用户削峰填谷。推行营业厅值班经理制和员工星级评定，儒岙供电所完成绍兴首批“无人化”供电营业厅转型，创成国网五星级供电所。</w:t>
      </w:r>
    </w:p>
    <w:p>
      <w:pPr>
        <w:pStyle w:val="21"/>
        <w:spacing w:line="520" w:lineRule="exact"/>
        <w:ind w:firstLine="630" w:firstLineChars="196"/>
        <w:textAlignment w:val="baseline"/>
        <w:rPr>
          <w:rFonts w:ascii="黑体" w:hAnsi="仿宋_GB2312" w:eastAsia="黑体"/>
          <w:sz w:val="32"/>
        </w:rPr>
      </w:pPr>
      <w:r>
        <w:rPr>
          <w:rFonts w:hint="eastAsia" w:ascii="黑体" w:hAnsi="仿宋_GB2312" w:eastAsia="黑体"/>
          <w:b/>
          <w:sz w:val="32"/>
        </w:rPr>
        <w:t>五、企业下一步信息公开和供电服务工作开展计划。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进一步畅通政府部门投资项目信息交互渠道，以客户为中心，实施惠民助企工程，服务发展大局，坚持“人民电业为人民”，以高效率办电、高品质服务、高质量供电推动“获得电力”水平再提升，在服务经济社会发展和人民美好生活中履行社会责任、赢得良好口碑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（1）进一步完善信息公开制度，加大信息公开的力度。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（2）进一步扩大信息公开范围，增强信息公开的透明度，接受更广大群众的监督。</w:t>
      </w:r>
    </w:p>
    <w:p>
      <w:pPr>
        <w:spacing w:line="520" w:lineRule="exact"/>
        <w:ind w:firstLine="640" w:firstLineChars="200"/>
        <w:rPr>
          <w:rFonts w:ascii="方正仿宋_GBK" w:hAnsi="仿宋_GB2312" w:eastAsia="方正仿宋_GBK"/>
          <w:sz w:val="32"/>
          <w:szCs w:val="22"/>
        </w:rPr>
      </w:pPr>
      <w:r>
        <w:rPr>
          <w:rFonts w:hint="eastAsia" w:ascii="方正仿宋_GBK" w:hAnsi="仿宋_GB2312" w:eastAsia="方正仿宋_GBK"/>
          <w:sz w:val="32"/>
          <w:szCs w:val="22"/>
        </w:rPr>
        <w:t>（3）进一步健全信息公开责任追究机制，明确任务，落实责任，严肃处理信息公开不及时，不透明等情况。</w:t>
      </w:r>
    </w:p>
    <w:p>
      <w:pPr>
        <w:pStyle w:val="2"/>
      </w:pPr>
    </w:p>
    <w:p>
      <w:pPr>
        <w:pStyle w:val="21"/>
        <w:spacing w:line="560" w:lineRule="exact"/>
        <w:textAlignment w:val="baseline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172A27"/>
    <w:rsid w:val="00013593"/>
    <w:rsid w:val="0002300B"/>
    <w:rsid w:val="000249F7"/>
    <w:rsid w:val="00047D9B"/>
    <w:rsid w:val="00052DD4"/>
    <w:rsid w:val="000A00C3"/>
    <w:rsid w:val="000B3C8C"/>
    <w:rsid w:val="000D45BB"/>
    <w:rsid w:val="000E4ECF"/>
    <w:rsid w:val="000F57E8"/>
    <w:rsid w:val="00114E31"/>
    <w:rsid w:val="00133FC0"/>
    <w:rsid w:val="00172A27"/>
    <w:rsid w:val="001A1318"/>
    <w:rsid w:val="001C2458"/>
    <w:rsid w:val="001D2211"/>
    <w:rsid w:val="001E32D5"/>
    <w:rsid w:val="0022759F"/>
    <w:rsid w:val="00296D12"/>
    <w:rsid w:val="002D5F84"/>
    <w:rsid w:val="002E6D0F"/>
    <w:rsid w:val="002F2E9A"/>
    <w:rsid w:val="00306A42"/>
    <w:rsid w:val="00325565"/>
    <w:rsid w:val="003265BF"/>
    <w:rsid w:val="003275CE"/>
    <w:rsid w:val="003330DF"/>
    <w:rsid w:val="003519CF"/>
    <w:rsid w:val="00362B18"/>
    <w:rsid w:val="00375257"/>
    <w:rsid w:val="003D5C14"/>
    <w:rsid w:val="003E30EC"/>
    <w:rsid w:val="00403510"/>
    <w:rsid w:val="0042112F"/>
    <w:rsid w:val="004543BC"/>
    <w:rsid w:val="004719B7"/>
    <w:rsid w:val="004E584A"/>
    <w:rsid w:val="004F2452"/>
    <w:rsid w:val="00506BCF"/>
    <w:rsid w:val="00514318"/>
    <w:rsid w:val="00534819"/>
    <w:rsid w:val="005428AF"/>
    <w:rsid w:val="00542E4C"/>
    <w:rsid w:val="0055175F"/>
    <w:rsid w:val="00562FD0"/>
    <w:rsid w:val="00567FDC"/>
    <w:rsid w:val="005B3C05"/>
    <w:rsid w:val="00616181"/>
    <w:rsid w:val="00623400"/>
    <w:rsid w:val="0064589F"/>
    <w:rsid w:val="00646B2C"/>
    <w:rsid w:val="00650B49"/>
    <w:rsid w:val="006740F1"/>
    <w:rsid w:val="0067483D"/>
    <w:rsid w:val="00675EB0"/>
    <w:rsid w:val="0067616E"/>
    <w:rsid w:val="00691A61"/>
    <w:rsid w:val="0069645A"/>
    <w:rsid w:val="006C0B64"/>
    <w:rsid w:val="006C1E51"/>
    <w:rsid w:val="006E7D78"/>
    <w:rsid w:val="0070668D"/>
    <w:rsid w:val="00710627"/>
    <w:rsid w:val="007145DC"/>
    <w:rsid w:val="00735576"/>
    <w:rsid w:val="007471F6"/>
    <w:rsid w:val="007475AD"/>
    <w:rsid w:val="007504D9"/>
    <w:rsid w:val="00763E56"/>
    <w:rsid w:val="00767CEA"/>
    <w:rsid w:val="007854D0"/>
    <w:rsid w:val="00786DAC"/>
    <w:rsid w:val="007A38DE"/>
    <w:rsid w:val="007A7D66"/>
    <w:rsid w:val="007B155B"/>
    <w:rsid w:val="007E1049"/>
    <w:rsid w:val="007F1C4F"/>
    <w:rsid w:val="008108F3"/>
    <w:rsid w:val="00827894"/>
    <w:rsid w:val="00827E3C"/>
    <w:rsid w:val="0085395C"/>
    <w:rsid w:val="00855873"/>
    <w:rsid w:val="008B1540"/>
    <w:rsid w:val="008B7ADD"/>
    <w:rsid w:val="008F15E5"/>
    <w:rsid w:val="008F64A4"/>
    <w:rsid w:val="008F6BDF"/>
    <w:rsid w:val="00903521"/>
    <w:rsid w:val="00986A73"/>
    <w:rsid w:val="009966CB"/>
    <w:rsid w:val="009A6998"/>
    <w:rsid w:val="009E30C0"/>
    <w:rsid w:val="009E49F4"/>
    <w:rsid w:val="00A15E1E"/>
    <w:rsid w:val="00A31510"/>
    <w:rsid w:val="00A3299D"/>
    <w:rsid w:val="00A55CA9"/>
    <w:rsid w:val="00A73A8F"/>
    <w:rsid w:val="00A820E4"/>
    <w:rsid w:val="00AB54D3"/>
    <w:rsid w:val="00AB707F"/>
    <w:rsid w:val="00AE63F9"/>
    <w:rsid w:val="00B27030"/>
    <w:rsid w:val="00B61ACA"/>
    <w:rsid w:val="00B671E4"/>
    <w:rsid w:val="00B701EB"/>
    <w:rsid w:val="00B739CF"/>
    <w:rsid w:val="00B8300D"/>
    <w:rsid w:val="00BB058A"/>
    <w:rsid w:val="00BB7C3E"/>
    <w:rsid w:val="00BF4E8A"/>
    <w:rsid w:val="00BF558A"/>
    <w:rsid w:val="00C16925"/>
    <w:rsid w:val="00C228A2"/>
    <w:rsid w:val="00C22D8A"/>
    <w:rsid w:val="00C44BA8"/>
    <w:rsid w:val="00C862D1"/>
    <w:rsid w:val="00CA4038"/>
    <w:rsid w:val="00D11973"/>
    <w:rsid w:val="00D40E67"/>
    <w:rsid w:val="00D442E8"/>
    <w:rsid w:val="00D81786"/>
    <w:rsid w:val="00DB3B9A"/>
    <w:rsid w:val="00DC4798"/>
    <w:rsid w:val="00DC6B50"/>
    <w:rsid w:val="00E11D86"/>
    <w:rsid w:val="00E171A6"/>
    <w:rsid w:val="00E17771"/>
    <w:rsid w:val="00E268CF"/>
    <w:rsid w:val="00E57B9D"/>
    <w:rsid w:val="00E86453"/>
    <w:rsid w:val="00E97574"/>
    <w:rsid w:val="00EA2D53"/>
    <w:rsid w:val="00EB5894"/>
    <w:rsid w:val="00EC23EA"/>
    <w:rsid w:val="00EC31D6"/>
    <w:rsid w:val="00EC505F"/>
    <w:rsid w:val="00EC6A57"/>
    <w:rsid w:val="00EE0CAF"/>
    <w:rsid w:val="00EE13DD"/>
    <w:rsid w:val="00EE2616"/>
    <w:rsid w:val="00F02852"/>
    <w:rsid w:val="00F10DD5"/>
    <w:rsid w:val="00F415AD"/>
    <w:rsid w:val="00F415CF"/>
    <w:rsid w:val="00F4714D"/>
    <w:rsid w:val="00F65814"/>
    <w:rsid w:val="00F7022D"/>
    <w:rsid w:val="00FA48EA"/>
    <w:rsid w:val="00FB65EF"/>
    <w:rsid w:val="00FF5999"/>
    <w:rsid w:val="0B450B00"/>
    <w:rsid w:val="0C3E20F8"/>
    <w:rsid w:val="0D257969"/>
    <w:rsid w:val="127849F9"/>
    <w:rsid w:val="138727FC"/>
    <w:rsid w:val="141D5CD4"/>
    <w:rsid w:val="146B43C1"/>
    <w:rsid w:val="1ED47159"/>
    <w:rsid w:val="1F6A3716"/>
    <w:rsid w:val="261A4D92"/>
    <w:rsid w:val="2CD32693"/>
    <w:rsid w:val="3609247C"/>
    <w:rsid w:val="38B26B94"/>
    <w:rsid w:val="38DB0CBB"/>
    <w:rsid w:val="40442150"/>
    <w:rsid w:val="406367B8"/>
    <w:rsid w:val="40CA12F9"/>
    <w:rsid w:val="417367F7"/>
    <w:rsid w:val="421821EB"/>
    <w:rsid w:val="464411D0"/>
    <w:rsid w:val="472F69F7"/>
    <w:rsid w:val="49C34890"/>
    <w:rsid w:val="529E5B47"/>
    <w:rsid w:val="57442887"/>
    <w:rsid w:val="589A10CC"/>
    <w:rsid w:val="593D37FA"/>
    <w:rsid w:val="5EFE4CB3"/>
    <w:rsid w:val="61517412"/>
    <w:rsid w:val="62151EFE"/>
    <w:rsid w:val="6471049C"/>
    <w:rsid w:val="71382193"/>
    <w:rsid w:val="71BB58A4"/>
    <w:rsid w:val="77A37E4A"/>
    <w:rsid w:val="792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uiPriority w:val="0"/>
    <w:rPr>
      <w:rFonts w:ascii="仿宋_GB2312" w:hAnsi="宋体" w:eastAsia="仿宋_GB2312"/>
      <w:sz w:val="32"/>
      <w:szCs w:val="32"/>
    </w:rPr>
  </w:style>
  <w:style w:type="paragraph" w:styleId="4">
    <w:name w:val="Date"/>
    <w:basedOn w:val="1"/>
    <w:next w:val="1"/>
    <w:uiPriority w:val="0"/>
    <w:rPr>
      <w:rFonts w:hint="eastAsia" w:ascii="Times New Roman" w:hAnsi="Times New Roman"/>
      <w:sz w:val="2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Body Text Char"/>
    <w:basedOn w:val="8"/>
    <w:link w:val="10"/>
    <w:uiPriority w:val="0"/>
  </w:style>
  <w:style w:type="paragraph" w:customStyle="1" w:styleId="10">
    <w:name w:val="正文文本1"/>
    <w:basedOn w:val="1"/>
    <w:link w:val="9"/>
    <w:uiPriority w:val="0"/>
    <w:pPr>
      <w:spacing w:after="120"/>
    </w:pPr>
  </w:style>
  <w:style w:type="character" w:customStyle="1" w:styleId="11">
    <w:name w:val="Body Text Indent Char1"/>
    <w:uiPriority w:val="0"/>
    <w:rPr>
      <w:rFonts w:eastAsia="宋体"/>
      <w:kern w:val="2"/>
      <w:sz w:val="24"/>
      <w:lang w:val="en-US" w:eastAsia="zh-CN"/>
    </w:rPr>
  </w:style>
  <w:style w:type="character" w:customStyle="1" w:styleId="12">
    <w:name w:val="Footer Char"/>
    <w:basedOn w:val="8"/>
    <w:link w:val="13"/>
    <w:uiPriority w:val="0"/>
    <w:rPr>
      <w:sz w:val="18"/>
    </w:rPr>
  </w:style>
  <w:style w:type="paragraph" w:customStyle="1" w:styleId="13">
    <w:name w:val="页脚1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14">
    <w:name w:val="Body Text Indent Char"/>
    <w:basedOn w:val="8"/>
    <w:link w:val="15"/>
    <w:uiPriority w:val="0"/>
  </w:style>
  <w:style w:type="paragraph" w:customStyle="1" w:styleId="15">
    <w:name w:val="正文文本缩进1"/>
    <w:basedOn w:val="1"/>
    <w:link w:val="14"/>
    <w:uiPriority w:val="0"/>
    <w:pPr>
      <w:ind w:firstLine="560" w:firstLineChars="200"/>
    </w:pPr>
  </w:style>
  <w:style w:type="character" w:customStyle="1" w:styleId="16">
    <w:name w:val="Header Char"/>
    <w:basedOn w:val="8"/>
    <w:link w:val="17"/>
    <w:uiPriority w:val="0"/>
    <w:rPr>
      <w:sz w:val="18"/>
    </w:rPr>
  </w:style>
  <w:style w:type="paragraph" w:customStyle="1" w:styleId="17">
    <w:name w:val="页眉1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8">
    <w:name w:val="Char"/>
    <w:basedOn w:val="1"/>
    <w:uiPriority w:val="0"/>
    <w:rPr>
      <w:rFonts w:ascii="Tahoma" w:hAnsi="Tahoma"/>
      <w:sz w:val="24"/>
    </w:rPr>
  </w:style>
  <w:style w:type="paragraph" w:customStyle="1" w:styleId="19">
    <w:name w:val="Char1"/>
    <w:basedOn w:val="1"/>
    <w:uiPriority w:val="0"/>
    <w:rPr>
      <w:rFonts w:ascii="仿宋_GB2312" w:hAnsi="Times New Roman" w:eastAsia="仿宋_GB2312"/>
      <w:b/>
      <w:sz w:val="32"/>
    </w:rPr>
  </w:style>
  <w:style w:type="paragraph" w:customStyle="1" w:styleId="20">
    <w:name w:val="p16"/>
    <w:basedOn w:val="1"/>
    <w:uiPriority w:val="0"/>
    <w:pPr>
      <w:widowControl/>
      <w:spacing w:before="100" w:after="100"/>
      <w:jc w:val="left"/>
    </w:pPr>
    <w:rPr>
      <w:rFonts w:ascii="宋体" w:hAnsi="宋体"/>
      <w:kern w:val="0"/>
      <w:sz w:val="24"/>
    </w:rPr>
  </w:style>
  <w:style w:type="paragraph" w:customStyle="1" w:styleId="21">
    <w:name w:val="列出段落1"/>
    <w:basedOn w:val="1"/>
    <w:uiPriority w:val="0"/>
    <w:pPr>
      <w:ind w:firstLine="420" w:firstLineChars="200"/>
    </w:pPr>
  </w:style>
  <w:style w:type="paragraph" w:customStyle="1" w:styleId="22">
    <w:name w:val="p0"/>
    <w:basedOn w:val="1"/>
    <w:uiPriority w:val="0"/>
    <w:pPr>
      <w:widowControl/>
    </w:pPr>
    <w:rPr>
      <w:rFonts w:ascii="Times New Roman" w:hAnsi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2578</Words>
  <Characters>150</Characters>
  <Lines>1</Lines>
  <Paragraphs>5</Paragraphs>
  <TotalTime>38</TotalTime>
  <ScaleCrop>false</ScaleCrop>
  <LinksUpToDate>false</LinksUpToDate>
  <CharactersWithSpaces>2723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2021-03-26T08:56:00Z</dcterms:created>
  <dc:creator>admin</dc:creator>
  <cp:lastModifiedBy>吕栋</cp:lastModifiedBy>
  <dcterms:modified xsi:type="dcterms:W3CDTF">2022-02-24T01:35:44Z</dcterms:modified>
  <dc:title>2014年度供电信息公开年报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