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60" w:lineRule="exact"/>
        <w:ind w:firstLine="3092" w:firstLineChars="700"/>
        <w:jc w:val="both"/>
        <w:textAlignment w:val="auto"/>
        <w:rPr>
          <w:rFonts w:ascii="宋体" w:hAnsi="宋体" w:cs="宋体"/>
          <w:b/>
          <w:bCs/>
          <w:color w:val="000000"/>
          <w:kern w:val="0"/>
          <w:sz w:val="44"/>
          <w:szCs w:val="44"/>
        </w:rPr>
      </w:pPr>
      <w:r>
        <w:rPr>
          <w:rFonts w:hint="eastAsia" w:ascii="宋体" w:hAnsi="宋体" w:cs="宋体"/>
          <w:b/>
          <w:bCs/>
          <w:color w:val="000000"/>
          <w:kern w:val="0"/>
          <w:sz w:val="44"/>
          <w:szCs w:val="44"/>
        </w:rPr>
        <w:t>竞拍须知</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Times New Roman"/>
          <w:color w:val="auto"/>
          <w:kern w:val="2"/>
          <w:sz w:val="28"/>
          <w:szCs w:val="28"/>
        </w:rPr>
        <w:t>二、拍卖方式。本次拍卖活动通过中国拍卖行业协会网络拍卖平台（简称“中拍平台”，网址</w:t>
      </w:r>
      <w:r>
        <w:rPr>
          <w:rFonts w:ascii="仿宋" w:hAnsi="仿宋" w:eastAsia="仿宋" w:cs="Times New Roman"/>
          <w:color w:val="auto"/>
          <w:kern w:val="2"/>
          <w:sz w:val="28"/>
          <w:szCs w:val="28"/>
        </w:rPr>
        <w:t>https://paimai.caa123.org.cn</w:t>
      </w:r>
      <w:r>
        <w:rPr>
          <w:rFonts w:hint="eastAsia" w:ascii="仿宋" w:hAnsi="仿宋" w:eastAsia="仿宋" w:cs="Times New Roman"/>
          <w:color w:val="auto"/>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auto"/>
          <w:kern w:val="2"/>
          <w:sz w:val="28"/>
          <w:szCs w:val="28"/>
        </w:rPr>
        <w:t>https://paimai.caa123.org.cn/pages/help/helpcenter_index.html</w:t>
      </w:r>
      <w:r>
        <w:rPr>
          <w:rFonts w:hint="eastAsia" w:ascii="仿宋" w:hAnsi="仿宋" w:eastAsia="仿宋" w:cs="Times New Roman"/>
          <w:color w:val="auto"/>
          <w:kern w:val="2"/>
          <w:sz w:val="28"/>
          <w:szCs w:val="28"/>
        </w:rPr>
        <w:t>）。拍卖人声明不提供统一的拍卖场所和拍卖工具。</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2" w:firstLineChars="200"/>
        <w:textAlignment w:val="auto"/>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五、本次拍卖</w:t>
      </w:r>
      <w:r>
        <w:rPr>
          <w:rFonts w:hint="eastAsia" w:ascii="仿宋" w:hAnsi="仿宋" w:eastAsia="仿宋" w:cs="Times New Roman"/>
          <w:b/>
          <w:color w:val="auto"/>
          <w:kern w:val="2"/>
          <w:sz w:val="28"/>
          <w:szCs w:val="28"/>
          <w:lang w:val="en-US" w:eastAsia="zh-CN"/>
        </w:rPr>
        <w:t>每标的</w:t>
      </w:r>
      <w:r>
        <w:rPr>
          <w:rFonts w:hint="eastAsia" w:ascii="仿宋" w:hAnsi="仿宋" w:eastAsia="仿宋" w:cs="Times New Roman"/>
          <w:b/>
          <w:color w:val="auto"/>
          <w:kern w:val="2"/>
          <w:sz w:val="28"/>
          <w:szCs w:val="28"/>
        </w:rPr>
        <w:t>至少需两名竞买人，如不足的，则取消该标的拍卖，由此对竞买人造成的损失由其自负。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Times New Roman"/>
          <w:b/>
          <w:color w:val="auto"/>
          <w:kern w:val="2"/>
          <w:sz w:val="28"/>
          <w:szCs w:val="28"/>
        </w:rPr>
      </w:pPr>
      <w:r>
        <w:rPr>
          <w:rFonts w:hint="eastAsia" w:ascii="仿宋" w:hAnsi="仿宋" w:eastAsia="仿宋" w:cs="Times New Roman"/>
          <w:color w:val="auto"/>
          <w:kern w:val="2"/>
          <w:sz w:val="28"/>
          <w:szCs w:val="28"/>
        </w:rPr>
        <w:t>六、本次拍卖活动设置延时出价功能，在拍卖活动结束前，每最后</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分钟如果有竞买人出价，就自动延迟</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分钟。本次拍卖一旦有人应价，就可以成交。</w:t>
      </w:r>
    </w:p>
    <w:p>
      <w:pPr>
        <w:pStyle w:val="2"/>
        <w:keepNext w:val="0"/>
        <w:keepLines w:val="0"/>
        <w:pageBreakBefore w:val="0"/>
        <w:kinsoku/>
        <w:wordWrap/>
        <w:overflowPunct/>
        <w:topLinePunct w:val="0"/>
        <w:autoSpaceDE/>
        <w:autoSpaceDN/>
        <w:bidi w:val="0"/>
        <w:adjustRightInd w:val="0"/>
        <w:spacing w:line="460" w:lineRule="exact"/>
        <w:ind w:firstLine="562"/>
        <w:textAlignment w:val="auto"/>
        <w:rPr>
          <w:rFonts w:ascii="仿宋" w:hAnsi="仿宋" w:eastAsia="仿宋" w:cs="仿宋"/>
          <w:b/>
          <w:color w:val="auto"/>
          <w:kern w:val="2"/>
          <w:sz w:val="28"/>
          <w:szCs w:val="28"/>
        </w:rPr>
      </w:pPr>
      <w:r>
        <w:rPr>
          <w:rFonts w:hint="eastAsia" w:ascii="仿宋" w:hAnsi="仿宋" w:eastAsia="仿宋" w:cs="仿宋"/>
          <w:b/>
          <w:color w:val="auto"/>
          <w:kern w:val="2"/>
          <w:sz w:val="28"/>
          <w:szCs w:val="28"/>
        </w:rPr>
        <w:t>七、</w:t>
      </w:r>
      <w:r>
        <w:rPr>
          <w:rFonts w:hint="eastAsia" w:ascii="仿宋" w:hAnsi="仿宋" w:eastAsia="仿宋" w:cs="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46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46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46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46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460" w:lineRule="exact"/>
        <w:ind w:left="281" w:leftChars="134" w:firstLine="280" w:firstLineChars="100"/>
        <w:textAlignment w:val="auto"/>
        <w:rPr>
          <w:rFonts w:ascii="仿宋" w:hAnsi="仿宋" w:eastAsia="仿宋" w:cs="仿宋"/>
          <w:color w:val="auto"/>
          <w:sz w:val="28"/>
          <w:szCs w:val="28"/>
        </w:rPr>
      </w:pPr>
      <w:r>
        <w:rPr>
          <w:rFonts w:hint="eastAsia" w:ascii="仿宋" w:hAnsi="仿宋" w:eastAsia="仿宋" w:cs="仿宋"/>
          <w:color w:val="auto"/>
          <w:sz w:val="28"/>
          <w:szCs w:val="28"/>
        </w:rPr>
        <w:t>八、拍卖成交后，买受人应在202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日17时前（携带</w:t>
      </w:r>
    </w:p>
    <w:p>
      <w:pPr>
        <w:keepNext w:val="0"/>
        <w:keepLines w:val="0"/>
        <w:pageBreakBefore w:val="0"/>
        <w:kinsoku/>
        <w:wordWrap/>
        <w:overflowPunct/>
        <w:topLinePunct w:val="0"/>
        <w:autoSpaceDE/>
        <w:autoSpaceDN/>
        <w:bidi w:val="0"/>
        <w:spacing w:line="460" w:lineRule="exact"/>
        <w:jc w:val="left"/>
        <w:textAlignment w:val="auto"/>
        <w:rPr>
          <w:rFonts w:ascii="仿宋" w:hAnsi="仿宋" w:eastAsia="仿宋"/>
          <w:b/>
          <w:color w:val="auto"/>
          <w:sz w:val="28"/>
          <w:szCs w:val="28"/>
        </w:rPr>
      </w:pPr>
      <w:r>
        <w:rPr>
          <w:rFonts w:hint="eastAsia" w:ascii="仿宋" w:hAnsi="仿宋" w:eastAsia="仿宋" w:cs="仿宋"/>
          <w:color w:val="auto"/>
          <w:sz w:val="28"/>
          <w:szCs w:val="28"/>
        </w:rPr>
        <w:t>相关身份材料原件）到浙江天平拍卖有限公司新昌分公司（地址：新昌县十九峰路99号海关大楼201）签署相关拍卖资料。本次拍卖佣金按拍卖成交总价（标的租赁期全部租金总和）的1.2%计算，买受人应将</w:t>
      </w:r>
      <w:r>
        <w:rPr>
          <w:rFonts w:hint="eastAsia" w:ascii="仿宋" w:hAnsi="仿宋" w:eastAsia="仿宋" w:cs="仿宋"/>
          <w:color w:val="auto"/>
          <w:sz w:val="28"/>
          <w:szCs w:val="28"/>
          <w:u w:val="single"/>
        </w:rPr>
        <w:t>于202</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13</w:t>
      </w:r>
      <w:r>
        <w:rPr>
          <w:rFonts w:hint="eastAsia" w:ascii="仿宋" w:hAnsi="仿宋" w:eastAsia="仿宋" w:cs="仿宋"/>
          <w:color w:val="auto"/>
          <w:sz w:val="28"/>
          <w:szCs w:val="28"/>
          <w:u w:val="single"/>
        </w:rPr>
        <w:t>日17时前一次性付清成交款【成交款=成交价</w:t>
      </w:r>
      <w:r>
        <w:rPr>
          <w:rFonts w:hint="eastAsia" w:ascii="仿宋" w:hAnsi="仿宋" w:eastAsia="仿宋" w:cs="仿宋"/>
          <w:b/>
          <w:bCs/>
          <w:color w:val="auto"/>
          <w:sz w:val="28"/>
          <w:szCs w:val="28"/>
          <w:u w:val="single"/>
        </w:rPr>
        <w:t>（标的第一年租金、履约保证金</w:t>
      </w:r>
      <w:r>
        <w:rPr>
          <w:rFonts w:hint="eastAsia" w:ascii="仿宋" w:hAnsi="仿宋" w:eastAsia="仿宋" w:cs="仿宋"/>
          <w:b/>
          <w:bCs/>
          <w:color w:val="auto"/>
          <w:sz w:val="28"/>
          <w:szCs w:val="28"/>
          <w:u w:val="single"/>
          <w:lang w:eastAsia="zh-CN"/>
        </w:rPr>
        <w:t>、</w:t>
      </w:r>
      <w:r>
        <w:rPr>
          <w:rFonts w:hint="eastAsia" w:ascii="仿宋" w:hAnsi="仿宋" w:eastAsia="仿宋" w:cs="仿宋"/>
          <w:b/>
          <w:bCs/>
          <w:color w:val="auto"/>
          <w:sz w:val="28"/>
          <w:szCs w:val="28"/>
          <w:u w:val="single"/>
          <w:lang w:val="en-US" w:eastAsia="zh-CN"/>
        </w:rPr>
        <w:t>标的首年物业费、</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u w:val="single"/>
        </w:rPr>
        <w:t>+拍卖佣金】。</w:t>
      </w:r>
      <w:r>
        <w:rPr>
          <w:rFonts w:hint="eastAsia" w:ascii="仿宋" w:hAnsi="仿宋" w:eastAsia="仿宋" w:cs="仿宋"/>
          <w:color w:val="auto"/>
          <w:sz w:val="28"/>
          <w:szCs w:val="28"/>
        </w:rPr>
        <w:t>以上款项汇入（账户名：浙江天平拍卖有限公司新昌分公司  开户行：中国银行新昌支行  账 号：350658339514）。</w:t>
      </w:r>
      <w:r>
        <w:rPr>
          <w:rFonts w:hint="eastAsia" w:ascii="仿宋" w:hAnsi="仿宋" w:eastAsia="仿宋" w:cs="仿宋"/>
          <w:b/>
          <w:color w:val="auto"/>
          <w:sz w:val="28"/>
          <w:szCs w:val="28"/>
        </w:rPr>
        <w:t>买受人还另需支付中拍平台的软件使用费（系统成交价的0.15%），</w:t>
      </w:r>
      <w:r>
        <w:rPr>
          <w:rFonts w:hint="eastAsia" w:ascii="仿宋" w:hAnsi="仿宋" w:eastAsia="仿宋"/>
          <w:b/>
          <w:color w:val="auto"/>
          <w:sz w:val="28"/>
          <w:szCs w:val="28"/>
        </w:rPr>
        <w:t>单个标的软件使用费上限10万元，</w:t>
      </w:r>
      <w:r>
        <w:rPr>
          <w:rFonts w:hint="eastAsia" w:ascii="仿宋" w:hAnsi="仿宋" w:eastAsia="仿宋" w:cs="仿宋"/>
          <w:b/>
          <w:color w:val="auto"/>
          <w:sz w:val="28"/>
          <w:szCs w:val="28"/>
        </w:rPr>
        <w:t>在拍卖成交之日起7日内由买受人自行向中拍平台支付，具体收费以中拍平台发送的订单为准。</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w:t>
      </w:r>
      <w:r>
        <w:rPr>
          <w:rFonts w:hint="eastAsia" w:ascii="仿宋" w:hAnsi="仿宋" w:eastAsia="仿宋" w:cs="仿宋"/>
          <w:color w:val="auto"/>
          <w:sz w:val="28"/>
          <w:szCs w:val="28"/>
          <w:lang w:val="en-US" w:eastAsia="zh-CN"/>
        </w:rPr>
        <w:t>价款</w:t>
      </w:r>
      <w:r>
        <w:rPr>
          <w:rFonts w:hint="eastAsia" w:ascii="仿宋" w:hAnsi="仿宋" w:eastAsia="仿宋" w:cs="仿宋"/>
          <w:color w:val="auto"/>
          <w:sz w:val="28"/>
          <w:szCs w:val="28"/>
        </w:rPr>
        <w:t>低于原拍卖</w:t>
      </w:r>
      <w:r>
        <w:rPr>
          <w:rFonts w:hint="eastAsia" w:ascii="仿宋" w:hAnsi="仿宋" w:eastAsia="仿宋" w:cs="仿宋"/>
          <w:color w:val="auto"/>
          <w:sz w:val="28"/>
          <w:szCs w:val="28"/>
          <w:lang w:val="en-US" w:eastAsia="zh-CN"/>
        </w:rPr>
        <w:t>价款</w:t>
      </w:r>
      <w:r>
        <w:rPr>
          <w:rFonts w:hint="eastAsia" w:ascii="仿宋" w:hAnsi="仿宋" w:eastAsia="仿宋" w:cs="仿宋"/>
          <w:color w:val="auto"/>
          <w:sz w:val="28"/>
          <w:szCs w:val="28"/>
        </w:rPr>
        <w:t>造成的差价、费用损失、原拍卖中的委托人及买受人应支付的拍卖佣金，均由原买受人承担。标的再次拍卖的，原买受人不得参与。</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3、本次拍卖标的产生的相关税费</w:t>
      </w:r>
      <w:r>
        <w:rPr>
          <w:rFonts w:hint="eastAsia" w:ascii="仿宋" w:hAnsi="仿宋" w:eastAsia="仿宋" w:cs="仿宋"/>
          <w:color w:val="auto"/>
          <w:sz w:val="28"/>
          <w:szCs w:val="28"/>
          <w:lang w:val="en-US" w:eastAsia="zh-CN"/>
        </w:rPr>
        <w:t>由买受人自行承担</w:t>
      </w:r>
      <w:r>
        <w:rPr>
          <w:rFonts w:hint="eastAsia" w:ascii="仿宋" w:hAnsi="仿宋" w:eastAsia="仿宋" w:cs="仿宋"/>
          <w:color w:val="auto"/>
          <w:sz w:val="28"/>
          <w:szCs w:val="28"/>
        </w:rPr>
        <w:t>。具体自行咨询当地有关部门。</w:t>
      </w:r>
    </w:p>
    <w:p>
      <w:pPr>
        <w:keepNext w:val="0"/>
        <w:keepLines w:val="0"/>
        <w:pageBreakBefore w:val="0"/>
        <w:tabs>
          <w:tab w:val="left" w:pos="1515"/>
        </w:tabs>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4、拍卖标的买受人需在202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13</w:t>
      </w:r>
      <w:r>
        <w:rPr>
          <w:rFonts w:hint="eastAsia" w:ascii="仿宋" w:hAnsi="仿宋" w:eastAsia="仿宋" w:cs="仿宋"/>
          <w:color w:val="auto"/>
          <w:sz w:val="28"/>
          <w:szCs w:val="28"/>
        </w:rPr>
        <w:t>日前签订相应标的合同，如未按规定签订的，作违约处理，竞买保证金不予返还。标的买受人需向委托方交纳</w:t>
      </w:r>
      <w:r>
        <w:rPr>
          <w:rFonts w:hint="eastAsia" w:ascii="仿宋" w:hAnsi="仿宋" w:eastAsia="仿宋" w:cs="仿宋"/>
          <w:color w:val="auto"/>
          <w:sz w:val="28"/>
          <w:szCs w:val="28"/>
          <w:lang w:val="en-US" w:eastAsia="zh-CN"/>
        </w:rPr>
        <w:t>3万元/标的</w:t>
      </w:r>
      <w:r>
        <w:rPr>
          <w:rFonts w:hint="eastAsia" w:ascii="仿宋" w:hAnsi="仿宋" w:eastAsia="仿宋" w:cs="仿宋"/>
          <w:color w:val="auto"/>
          <w:sz w:val="28"/>
          <w:szCs w:val="28"/>
        </w:rPr>
        <w:t>履约保证金。履约保证金与约定缴纳的成交款同时交纳，如不按期交纳，则作违约处理，竞买保证金予以没收。如期满无违约行为，履约保证金返还。</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5、拍卖标的买受人与委托人签订相应标的合同后，由委托人负责将标的按期移交给买受人。如因特殊情况，委托方无法按期将标的移交给买受人，则起始时间以实际移交时间为准。</w:t>
      </w:r>
    </w:p>
    <w:p>
      <w:pPr>
        <w:keepNext w:val="0"/>
        <w:keepLines w:val="0"/>
        <w:pageBreakBefore w:val="0"/>
        <w:kinsoku/>
        <w:wordWrap/>
        <w:overflowPunct/>
        <w:topLinePunct w:val="0"/>
        <w:autoSpaceDE/>
        <w:autoSpaceDN/>
        <w:bidi w:val="0"/>
        <w:spacing w:line="460" w:lineRule="exact"/>
        <w:ind w:firstLine="554" w:firstLineChars="198"/>
        <w:textAlignment w:val="auto"/>
        <w:rPr>
          <w:rFonts w:ascii="仿宋" w:hAnsi="仿宋" w:eastAsia="仿宋" w:cs="仿宋"/>
          <w:color w:val="auto"/>
          <w:sz w:val="28"/>
          <w:szCs w:val="28"/>
        </w:rPr>
      </w:pPr>
      <w:r>
        <w:rPr>
          <w:rFonts w:hint="eastAsia" w:ascii="仿宋" w:hAnsi="仿宋" w:eastAsia="仿宋" w:cs="仿宋"/>
          <w:color w:val="auto"/>
          <w:sz w:val="28"/>
          <w:szCs w:val="28"/>
        </w:rPr>
        <w:t>6、拍卖标的剩余租金支付方式: 由委托方在每年租期开始前一个月自行收取下一年的租金。</w:t>
      </w:r>
    </w:p>
    <w:p>
      <w:pPr>
        <w:keepNext w:val="0"/>
        <w:keepLines w:val="0"/>
        <w:pageBreakBefore w:val="0"/>
        <w:kinsoku/>
        <w:wordWrap/>
        <w:overflowPunct/>
        <w:topLinePunct w:val="0"/>
        <w:autoSpaceDE/>
        <w:autoSpaceDN/>
        <w:bidi w:val="0"/>
        <w:spacing w:line="460" w:lineRule="exact"/>
        <w:ind w:firstLine="554" w:firstLineChars="198"/>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keepNext w:val="0"/>
        <w:keepLines w:val="0"/>
        <w:pageBreakBefore w:val="0"/>
        <w:kinsoku/>
        <w:wordWrap/>
        <w:overflowPunct/>
        <w:topLinePunct w:val="0"/>
        <w:autoSpaceDE/>
        <w:autoSpaceDN/>
        <w:bidi w:val="0"/>
        <w:spacing w:line="460" w:lineRule="exact"/>
        <w:ind w:firstLine="554" w:firstLineChars="198"/>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8、标的的</w:t>
      </w:r>
      <w:r>
        <w:rPr>
          <w:rFonts w:hint="eastAsia" w:ascii="仿宋" w:hAnsi="仿宋" w:eastAsia="仿宋"/>
          <w:color w:val="auto"/>
          <w:sz w:val="28"/>
          <w:szCs w:val="28"/>
          <w:lang w:val="en-US" w:eastAsia="zh-CN"/>
        </w:rPr>
        <w:t>商铺内外及周围必须及时清理污染垃圾，保持整洁卫生，不对周边环境造成持续污染；经营活动中不得影响周边居民正常的生活起居；商铺隔墙可改造但不得改动过道、楼梯；配备的消防器材、设备等不得擅自移动，保持器材持续有效，到期归还。</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keepNext w:val="0"/>
        <w:keepLines w:val="0"/>
        <w:pageBreakBefore w:val="0"/>
        <w:tabs>
          <w:tab w:val="left" w:pos="1515"/>
        </w:tabs>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、拍卖标的</w:t>
      </w:r>
      <w:r>
        <w:rPr>
          <w:rFonts w:hint="eastAsia" w:ascii="仿宋" w:hAnsi="仿宋" w:eastAsia="仿宋" w:cs="仿宋"/>
          <w:color w:val="auto"/>
          <w:kern w:val="0"/>
          <w:sz w:val="28"/>
          <w:szCs w:val="28"/>
        </w:rPr>
        <w:t>在租赁期限内因政府规划、旧城改造、征用、拆迁或其他特殊原因，</w:t>
      </w:r>
      <w:r>
        <w:rPr>
          <w:rFonts w:hint="eastAsia" w:ascii="仿宋" w:hAnsi="仿宋" w:eastAsia="仿宋" w:cs="仿宋"/>
          <w:color w:val="auto"/>
          <w:sz w:val="28"/>
          <w:szCs w:val="28"/>
        </w:rPr>
        <w:t>要在租赁期限内提前终止该租赁权的，必须提前1个月向买受人发出书面通知，则买受人应无条件配合出租方及时腾空拍卖标的，买受人可拆除整体移动的饰物外，其余固定装修均无偿归出租方所有，委托方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、拍卖标的买受人如有违反本拍卖文件规定和相关合同约定情形的，委托方有权收回使用权，履约保证金将予以没收。</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、拍卖标的双方应在签订相应合同后，提交相应合同复印件到新昌县公共资源交易中心登记备案。</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、拍卖人根据法律规定有权在拍卖开始前中止拍卖或撤回拍卖，并不承担损失责任，其它详见相应合同。</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w:t>
      </w:r>
      <w:r>
        <w:rPr>
          <w:rFonts w:hint="eastAsia" w:ascii="仿宋" w:hAnsi="仿宋" w:eastAsia="仿宋" w:cs="仿宋"/>
          <w:color w:val="auto"/>
          <w:kern w:val="2"/>
          <w:sz w:val="28"/>
          <w:szCs w:val="28"/>
          <w:lang w:val="en-US" w:eastAsia="zh-CN"/>
        </w:rPr>
        <w:t>4</w:t>
      </w:r>
      <w:r>
        <w:rPr>
          <w:rFonts w:hint="eastAsia" w:ascii="仿宋" w:hAnsi="仿宋" w:eastAsia="仿宋" w:cs="仿宋"/>
          <w:color w:val="auto"/>
          <w:kern w:val="2"/>
          <w:sz w:val="28"/>
          <w:szCs w:val="28"/>
        </w:rPr>
        <w:t>、本规则其他未尽事宜，请向拍卖人咨询，咨询电话：86026999  </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bookmarkStart w:id="0" w:name="_GoBack"/>
      <w:bookmarkEnd w:id="0"/>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auto"/>
          <w:sz w:val="28"/>
          <w:szCs w:val="28"/>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60" w:lineRule="exact"/>
        <w:ind w:firstLine="560" w:firstLineChars="200"/>
        <w:jc w:val="right"/>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               浙江天平拍卖有限公司</w:t>
      </w:r>
    </w:p>
    <w:p>
      <w:pPr>
        <w:pStyle w:val="3"/>
        <w:keepNext w:val="0"/>
        <w:keepLines w:val="0"/>
        <w:pageBreakBefore w:val="0"/>
        <w:kinsoku/>
        <w:wordWrap/>
        <w:overflowPunct/>
        <w:topLinePunct w:val="0"/>
        <w:autoSpaceDE/>
        <w:autoSpaceDN/>
        <w:bidi w:val="0"/>
        <w:adjustRightInd w:val="0"/>
        <w:snapToGrid w:val="0"/>
        <w:spacing w:after="0" w:line="460" w:lineRule="exact"/>
        <w:ind w:left="0" w:leftChars="0"/>
        <w:jc w:val="center"/>
        <w:textAlignment w:val="auto"/>
        <w:rPr>
          <w:rFonts w:hint="eastAsia" w:asciiTheme="minorEastAsia" w:hAnsiTheme="minorEastAsia" w:eastAsiaTheme="minorEastAsia"/>
          <w:b/>
          <w:color w:val="auto"/>
          <w:sz w:val="36"/>
          <w:szCs w:val="36"/>
        </w:rPr>
      </w:pP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29</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wN2UzMWQwZTdiNzU1NTZiMDY1NjdlYzRhYTdhNzkifQ=="/>
  </w:docVars>
  <w:rsids>
    <w:rsidRoot w:val="6B3061A2"/>
    <w:rsid w:val="001131D7"/>
    <w:rsid w:val="002C7977"/>
    <w:rsid w:val="00415FAB"/>
    <w:rsid w:val="00420CD2"/>
    <w:rsid w:val="00452BBD"/>
    <w:rsid w:val="006B0F01"/>
    <w:rsid w:val="00906007"/>
    <w:rsid w:val="00D01984"/>
    <w:rsid w:val="00FA4B75"/>
    <w:rsid w:val="010F3B4F"/>
    <w:rsid w:val="02083BFD"/>
    <w:rsid w:val="03547F3F"/>
    <w:rsid w:val="03FC3834"/>
    <w:rsid w:val="04E94F92"/>
    <w:rsid w:val="05340CF4"/>
    <w:rsid w:val="06611F5B"/>
    <w:rsid w:val="08071C88"/>
    <w:rsid w:val="0972111F"/>
    <w:rsid w:val="09BD5F33"/>
    <w:rsid w:val="0A922957"/>
    <w:rsid w:val="0AC21DC6"/>
    <w:rsid w:val="0ADD297B"/>
    <w:rsid w:val="0DC22136"/>
    <w:rsid w:val="10376ABC"/>
    <w:rsid w:val="10431FF8"/>
    <w:rsid w:val="123041C0"/>
    <w:rsid w:val="13434153"/>
    <w:rsid w:val="134E5DF2"/>
    <w:rsid w:val="14A174E0"/>
    <w:rsid w:val="1594066F"/>
    <w:rsid w:val="175458EF"/>
    <w:rsid w:val="176F0A62"/>
    <w:rsid w:val="17F86467"/>
    <w:rsid w:val="19714DD5"/>
    <w:rsid w:val="1B387FDF"/>
    <w:rsid w:val="1E79492F"/>
    <w:rsid w:val="20FF72E4"/>
    <w:rsid w:val="23A825BD"/>
    <w:rsid w:val="24240C58"/>
    <w:rsid w:val="24625EED"/>
    <w:rsid w:val="28CC22FB"/>
    <w:rsid w:val="29315ECD"/>
    <w:rsid w:val="2E815CC0"/>
    <w:rsid w:val="309773CA"/>
    <w:rsid w:val="30E83A92"/>
    <w:rsid w:val="31374878"/>
    <w:rsid w:val="32C41D9D"/>
    <w:rsid w:val="34133546"/>
    <w:rsid w:val="36BF3C0C"/>
    <w:rsid w:val="37BC0FAE"/>
    <w:rsid w:val="38960F01"/>
    <w:rsid w:val="3B8C0CA0"/>
    <w:rsid w:val="3C075E02"/>
    <w:rsid w:val="3E57514B"/>
    <w:rsid w:val="401B3E83"/>
    <w:rsid w:val="40BC42CB"/>
    <w:rsid w:val="4166201A"/>
    <w:rsid w:val="422113F1"/>
    <w:rsid w:val="422B5DF6"/>
    <w:rsid w:val="44343766"/>
    <w:rsid w:val="448C2AF8"/>
    <w:rsid w:val="448F0696"/>
    <w:rsid w:val="46BB72EA"/>
    <w:rsid w:val="483969A8"/>
    <w:rsid w:val="48DE5982"/>
    <w:rsid w:val="49754441"/>
    <w:rsid w:val="4DE85050"/>
    <w:rsid w:val="4F34676D"/>
    <w:rsid w:val="51332793"/>
    <w:rsid w:val="51593E99"/>
    <w:rsid w:val="525F64B6"/>
    <w:rsid w:val="538A5CD0"/>
    <w:rsid w:val="53DC328A"/>
    <w:rsid w:val="54C0162A"/>
    <w:rsid w:val="557124D8"/>
    <w:rsid w:val="594E2BD8"/>
    <w:rsid w:val="59E10ECB"/>
    <w:rsid w:val="5CB0586A"/>
    <w:rsid w:val="5DDD6869"/>
    <w:rsid w:val="5E383E6A"/>
    <w:rsid w:val="5EA54856"/>
    <w:rsid w:val="5F5F6448"/>
    <w:rsid w:val="5FBB6EAB"/>
    <w:rsid w:val="63F166BE"/>
    <w:rsid w:val="646C600B"/>
    <w:rsid w:val="664050E0"/>
    <w:rsid w:val="667A4DFC"/>
    <w:rsid w:val="69A31647"/>
    <w:rsid w:val="6B3061A2"/>
    <w:rsid w:val="6BAB5935"/>
    <w:rsid w:val="6DA45526"/>
    <w:rsid w:val="6DBB334E"/>
    <w:rsid w:val="6EC67E60"/>
    <w:rsid w:val="6F1157AC"/>
    <w:rsid w:val="6FF46A3C"/>
    <w:rsid w:val="710B1115"/>
    <w:rsid w:val="71B44331"/>
    <w:rsid w:val="72134D3F"/>
    <w:rsid w:val="736B3564"/>
    <w:rsid w:val="739E6705"/>
    <w:rsid w:val="747F1B61"/>
    <w:rsid w:val="751F274E"/>
    <w:rsid w:val="75CE2D14"/>
    <w:rsid w:val="76114A33"/>
    <w:rsid w:val="76E01BBE"/>
    <w:rsid w:val="77DC0CC3"/>
    <w:rsid w:val="780603FE"/>
    <w:rsid w:val="7939121E"/>
    <w:rsid w:val="7A220288"/>
    <w:rsid w:val="7B327FB1"/>
    <w:rsid w:val="7DA25597"/>
    <w:rsid w:val="7E8A1569"/>
    <w:rsid w:val="7F111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qFormat/>
    <w:uiPriority w:val="0"/>
    <w:pPr>
      <w:spacing w:after="120" w:line="480" w:lineRule="auto"/>
      <w:ind w:left="420" w:leftChars="200"/>
    </w:pPr>
    <w:rPr>
      <w:rFonts w:ascii="Times New Roman" w:hAnsi="Times New Roman"/>
      <w:szCs w:val="24"/>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10"/>
    <w:link w:val="5"/>
    <w:qFormat/>
    <w:uiPriority w:val="0"/>
    <w:rPr>
      <w:rFonts w:ascii="Calibri" w:hAnsi="Calibri" w:eastAsia="宋体" w:cs="Times New Roman"/>
      <w:kern w:val="2"/>
      <w:sz w:val="18"/>
      <w:szCs w:val="18"/>
    </w:rPr>
  </w:style>
  <w:style w:type="character" w:customStyle="1" w:styleId="14">
    <w:name w:val="页脚 Char"/>
    <w:basedOn w:val="10"/>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11</Pages>
  <Words>5475</Words>
  <Characters>5900</Characters>
  <Lines>39</Lines>
  <Paragraphs>11</Paragraphs>
  <TotalTime>47</TotalTime>
  <ScaleCrop>false</ScaleCrop>
  <LinksUpToDate>false</LinksUpToDate>
  <CharactersWithSpaces>5974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2022-11-07T02:20:00Z</dcterms:created>
  <dc:creator>wkm</dc:creator>
  <cp:lastModifiedBy>Administrator</cp:lastModifiedBy>
  <cp:lastPrinted>2024-02-26T06:21:00Z</cp:lastPrinted>
  <dcterms:modified xsi:type="dcterms:W3CDTF">2024-02-29T01:30:43Z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97876BFAFD9C40F38FCF11DFA74B71FE</vt:lpwstr>
  </property>
</Properties>
</file>