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880" w:firstLineChars="200"/>
        <w:jc w:val="center"/>
        <w:textAlignment w:val="auto"/>
        <w:outlineLvl w:val="9"/>
        <w:rPr>
          <w:rFonts w:hint="eastAsia" w:ascii="方正小标宋简体" w:hAnsi="方正小标宋简体" w:eastAsia="方正小标宋简体" w:cs="方正小标宋简体"/>
          <w:b/>
          <w:bCs/>
          <w:kern w:val="10"/>
          <w:sz w:val="44"/>
          <w:szCs w:val="44"/>
          <w:lang w:val="en-US" w:eastAsia="zh-CN" w:bidi="ar-SA"/>
        </w:rPr>
      </w:pPr>
      <w:r>
        <w:rPr>
          <w:rFonts w:hint="eastAsia" w:ascii="方正小标宋简体" w:hAnsi="方正小标宋简体" w:eastAsia="方正小标宋简体" w:cs="方正小标宋简体"/>
          <w:b/>
          <w:bCs/>
          <w:kern w:val="10"/>
          <w:sz w:val="44"/>
          <w:szCs w:val="44"/>
          <w:lang w:val="en-US" w:eastAsia="zh-CN" w:bidi="ar-SA"/>
        </w:rPr>
        <w:t>《新昌县预拌商品混凝土管理办法》</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880" w:firstLineChars="200"/>
        <w:jc w:val="center"/>
        <w:textAlignment w:val="auto"/>
        <w:outlineLvl w:val="9"/>
        <w:rPr>
          <w:rFonts w:hint="eastAsia" w:ascii="方正小标宋简体" w:hAnsi="方正小标宋简体" w:eastAsia="方正小标宋简体" w:cs="方正小标宋简体"/>
          <w:b/>
          <w:bCs/>
          <w:kern w:val="10"/>
          <w:sz w:val="44"/>
          <w:szCs w:val="44"/>
          <w:lang w:val="en-US" w:eastAsia="zh-CN" w:bidi="ar-SA"/>
        </w:rPr>
      </w:pPr>
      <w:r>
        <w:rPr>
          <w:rFonts w:hint="eastAsia" w:ascii="方正小标宋简体" w:hAnsi="方正小标宋简体" w:eastAsia="方正小标宋简体" w:cs="方正小标宋简体"/>
          <w:b/>
          <w:bCs/>
          <w:kern w:val="10"/>
          <w:sz w:val="44"/>
          <w:szCs w:val="44"/>
          <w:lang w:val="en-US" w:eastAsia="zh-CN" w:bidi="ar-SA"/>
        </w:rPr>
        <w:t>政策解读</w:t>
      </w:r>
    </w:p>
    <w:p>
      <w:pPr>
        <w:ind w:firstLine="600" w:firstLineChars="200"/>
        <w:rPr>
          <w:rFonts w:hint="eastAsia"/>
          <w:sz w:val="30"/>
          <w:szCs w:val="30"/>
        </w:rPr>
      </w:pPr>
    </w:p>
    <w:p>
      <w:pPr>
        <w:ind w:firstLine="600" w:firstLineChars="200"/>
        <w:rPr>
          <w:rFonts w:hint="eastAsia"/>
          <w:sz w:val="30"/>
          <w:szCs w:val="30"/>
        </w:rPr>
      </w:pPr>
      <w:r>
        <w:rPr>
          <w:rFonts w:hint="eastAsia"/>
          <w:sz w:val="30"/>
          <w:szCs w:val="30"/>
        </w:rPr>
        <w:t>一、制定背景</w:t>
      </w:r>
    </w:p>
    <w:p>
      <w:pPr>
        <w:snapToGrid w:val="0"/>
        <w:spacing w:line="560" w:lineRule="exact"/>
        <w:ind w:firstLine="600" w:firstLineChars="200"/>
        <w:rPr>
          <w:rFonts w:hint="eastAsia" w:eastAsia="宋体"/>
          <w:sz w:val="30"/>
          <w:szCs w:val="30"/>
          <w:lang w:val="en-US" w:eastAsia="zh-CN"/>
        </w:rPr>
      </w:pPr>
      <w:r>
        <w:rPr>
          <w:rFonts w:hint="eastAsia"/>
          <w:sz w:val="30"/>
          <w:szCs w:val="30"/>
          <w:lang w:val="en-US" w:eastAsia="zh-CN"/>
        </w:rPr>
        <w:t>《新昌县预拌商品混凝土管理办法》（新政办发〔2013〕122号）自2013年8月实施以来，为改善我县城市空气环境、提高建设工程工效、规范预拌混凝土市场管理、确保建设工程质量起到了一定的促进作用。同时，在实施过程中，也碰到了一些新变化、新问题，</w:t>
      </w:r>
      <w:r>
        <w:rPr>
          <w:rFonts w:hint="eastAsia" w:eastAsia="宋体"/>
          <w:sz w:val="30"/>
          <w:szCs w:val="30"/>
          <w:lang w:val="en-US" w:eastAsia="zh-CN"/>
        </w:rPr>
        <w:t>原《新昌县预拌商品混凝土管理办法的通知》</w:t>
      </w:r>
      <w:r>
        <w:rPr>
          <w:rFonts w:hint="eastAsia"/>
          <w:sz w:val="30"/>
          <w:szCs w:val="30"/>
        </w:rPr>
        <w:t>（以下简称原《办法》）</w:t>
      </w:r>
      <w:r>
        <w:rPr>
          <w:rFonts w:hint="eastAsia" w:eastAsia="宋体"/>
          <w:sz w:val="30"/>
          <w:szCs w:val="30"/>
          <w:lang w:val="en-US" w:eastAsia="zh-CN"/>
        </w:rPr>
        <w:t>已不完全适用当前我县预拌混凝土工作实际，需要对该管理办法进行修订新完善。</w:t>
      </w:r>
    </w:p>
    <w:p>
      <w:pPr>
        <w:snapToGrid w:val="0"/>
        <w:spacing w:line="560" w:lineRule="exact"/>
        <w:ind w:firstLine="600" w:firstLineChars="200"/>
        <w:rPr>
          <w:rFonts w:hint="eastAsia"/>
          <w:sz w:val="30"/>
          <w:szCs w:val="30"/>
          <w:lang w:val="en-US" w:eastAsia="zh-CN"/>
        </w:rPr>
      </w:pPr>
      <w:r>
        <w:rPr>
          <w:rFonts w:hint="eastAsia"/>
          <w:sz w:val="30"/>
          <w:szCs w:val="30"/>
          <w:lang w:val="en-US" w:eastAsia="zh-CN"/>
        </w:rPr>
        <w:t>二、内容说明</w:t>
      </w:r>
    </w:p>
    <w:p>
      <w:pPr>
        <w:snapToGrid w:val="0"/>
        <w:spacing w:line="560" w:lineRule="exact"/>
        <w:ind w:firstLine="600" w:firstLineChars="200"/>
        <w:rPr>
          <w:rFonts w:hint="eastAsia"/>
          <w:sz w:val="30"/>
          <w:szCs w:val="30"/>
          <w:lang w:val="en-US" w:eastAsia="zh-CN"/>
        </w:rPr>
      </w:pPr>
      <w:r>
        <w:rPr>
          <w:rFonts w:hint="eastAsia"/>
          <w:sz w:val="30"/>
          <w:szCs w:val="30"/>
          <w:lang w:val="en-US" w:eastAsia="zh-CN"/>
        </w:rPr>
        <w:t>1.</w:t>
      </w:r>
      <w:r>
        <w:rPr>
          <w:rFonts w:hint="eastAsia"/>
          <w:sz w:val="30"/>
          <w:szCs w:val="30"/>
          <w:lang w:val="zh-CN" w:eastAsia="zh-CN"/>
        </w:rPr>
        <w:t>明确各相关部门最新监管要求</w:t>
      </w:r>
      <w:r>
        <w:rPr>
          <w:rFonts w:hint="eastAsia"/>
          <w:sz w:val="30"/>
          <w:szCs w:val="30"/>
          <w:lang w:val="en-US" w:eastAsia="zh-CN"/>
        </w:rPr>
        <w:t>。第一、第四、第七条第3点、第二十三、第三十九条，根据省市文件要求，把涉及到的部门例入《办法》中，明确各自考核和监管责任。如第四条明确县发改、商务、公安、国土、环保、交通、水利、安监、市场监管、质监、综合执法等部门应根据各自职责，做好相应预拌混凝土的管理工作。根据《关于印发浙江省预拌混凝土行业清洁生产实施方案的通知》（浙商务联发[2016]87号）；《绍兴市促进散装水泥发展和应用办法》（绍兴市人民政府令101号）；《绍兴市推进“绿色混凝土搅拌站、砂浆生产线”建设工作实施方案》（绍商务联发[2016]21号）；《绍兴市商务局等4部门关于下发全市预拌混凝土、预拌砂浆行业清洁生产工作推进计划的通知》（绍商务联发[2017]8号）等文件，</w:t>
      </w:r>
      <w:r>
        <w:rPr>
          <w:rFonts w:hint="eastAsia"/>
          <w:sz w:val="30"/>
          <w:szCs w:val="30"/>
          <w:lang w:val="zh-CN" w:eastAsia="zh-CN"/>
        </w:rPr>
        <w:t>明确各相关部门的考核和监管责任</w:t>
      </w:r>
      <w:r>
        <w:rPr>
          <w:rFonts w:hint="eastAsia"/>
          <w:sz w:val="30"/>
          <w:szCs w:val="30"/>
          <w:lang w:val="en-US" w:eastAsia="zh-CN"/>
        </w:rPr>
        <w:t>。</w:t>
      </w:r>
    </w:p>
    <w:p>
      <w:pPr>
        <w:keepNext w:val="0"/>
        <w:keepLines w:val="0"/>
        <w:widowControl w:val="0"/>
        <w:suppressLineNumbers w:val="0"/>
        <w:spacing w:before="0" w:beforeAutospacing="0" w:after="0" w:afterAutospacing="0" w:line="360" w:lineRule="auto"/>
        <w:ind w:left="1" w:right="0" w:firstLine="640" w:firstLineChars="200"/>
        <w:jc w:val="both"/>
        <w:textAlignment w:val="bottom"/>
        <w:rPr>
          <w:rFonts w:hint="eastAsia"/>
          <w:sz w:val="30"/>
          <w:szCs w:val="30"/>
          <w:lang w:val="en-US" w:eastAsia="zh-CN"/>
        </w:rPr>
      </w:pPr>
      <w:r>
        <w:rPr>
          <w:rFonts w:hint="eastAsia"/>
          <w:sz w:val="30"/>
          <w:szCs w:val="30"/>
          <w:lang w:val="en-US" w:eastAsia="zh-CN"/>
        </w:rPr>
        <w:t>2.根据新规定对相关条文进行修改。比如依据《建筑业企业资质管理规定》（住房城乡建设部令第22号；《建筑业企业资质管理规定和资质标准实施意见》（建市[2015]20号）规定，新办法第六条规定预拌混凝土企业应按《建筑企业资质标准》（</w:t>
      </w:r>
      <w:r>
        <w:rPr>
          <w:rFonts w:hint="default"/>
          <w:sz w:val="30"/>
          <w:szCs w:val="30"/>
          <w:lang w:val="en-US" w:eastAsia="zh-CN"/>
        </w:rPr>
        <w:t>2014</w:t>
      </w:r>
      <w:r>
        <w:rPr>
          <w:rFonts w:hint="eastAsia"/>
          <w:sz w:val="30"/>
          <w:szCs w:val="30"/>
          <w:lang w:val="en-US" w:eastAsia="zh-CN"/>
        </w:rPr>
        <w:t>年）规定取得预拌混凝土专业承包资质后，方可进行生产经营。第三十四条规定预拌混凝土企业需按《建筑业企业资质标准》（</w:t>
      </w:r>
      <w:r>
        <w:rPr>
          <w:rFonts w:hint="default"/>
          <w:sz w:val="30"/>
          <w:szCs w:val="30"/>
          <w:lang w:val="en-US" w:eastAsia="zh-CN"/>
        </w:rPr>
        <w:t>2014</w:t>
      </w:r>
      <w:r>
        <w:rPr>
          <w:rFonts w:hint="eastAsia"/>
          <w:sz w:val="30"/>
          <w:szCs w:val="30"/>
          <w:lang w:val="en-US" w:eastAsia="zh-CN"/>
        </w:rPr>
        <w:t>年）进行资质延续。</w:t>
      </w:r>
    </w:p>
    <w:p>
      <w:pPr>
        <w:keepNext w:val="0"/>
        <w:keepLines w:val="0"/>
        <w:widowControl/>
        <w:suppressLineNumbers w:val="0"/>
        <w:autoSpaceDE/>
        <w:autoSpaceDN w:val="0"/>
        <w:spacing w:before="0" w:beforeAutospacing="0" w:after="0" w:afterAutospacing="0" w:line="360" w:lineRule="auto"/>
        <w:ind w:left="1" w:right="0" w:firstLine="640" w:firstLineChars="200"/>
        <w:jc w:val="both"/>
        <w:textAlignment w:val="bottom"/>
        <w:rPr>
          <w:rFonts w:hint="eastAsia"/>
          <w:sz w:val="30"/>
          <w:szCs w:val="30"/>
          <w:lang w:val="en-US" w:eastAsia="zh-CN"/>
        </w:rPr>
      </w:pPr>
      <w:r>
        <w:rPr>
          <w:rFonts w:hint="eastAsia"/>
          <w:sz w:val="30"/>
          <w:szCs w:val="30"/>
          <w:lang w:val="en-US" w:eastAsia="zh-CN"/>
        </w:rPr>
        <w:t>3、对预拌混企业的准入、管理和混凝土质量提出要求。比如第七条第1点，为确保预拌混凝土质量稳定性，县外预拌混凝土企业进入新昌县境内，必须取得相应资质。到新昌县建设局进行资质审核登记备案。依据《建设工程质量管理条例》第四十八条的要求，新办法第九条规定预拌混凝土生产企业应定期向新昌县各管理部门报送对口统计资料及动态信息。依据《绍兴市促进散装水泥发展和应用办法》第八条要求，新办法第十一条规定预拌混凝土企业应加强原材料的监管和检验工作，应有原材料进场的验收记录（包括厂名或产地、品牌规格、数量、出厂质量证明书和有效期内质保书），进场复验合格后分别贮存，设立标识，严禁混杂和污染。依据《建设工程质量管理条例》第二十九、第三十六条规定，新办法第二十六条要求购买和使用预拌混凝土的单位、个人以及工程监理单位，应当核验预拌混凝土生产企业的资质等级证书、出厂合格证和建材检测资料等信息。不得购买和使用无证企业、不具备相应资质等级或建材检测不合格的生产企业的预拌混凝土。</w:t>
      </w:r>
    </w:p>
    <w:p>
      <w:pPr>
        <w:rPr>
          <w:rFonts w:hint="eastAsia"/>
          <w:sz w:val="30"/>
          <w:szCs w:val="30"/>
        </w:rPr>
      </w:pPr>
      <w:r>
        <w:rPr>
          <w:rFonts w:hint="eastAsia"/>
          <w:sz w:val="30"/>
          <w:szCs w:val="30"/>
          <w:lang w:val="en-US" w:eastAsia="zh-CN"/>
        </w:rPr>
        <w:t xml:space="preserve">    </w:t>
      </w:r>
      <w:r>
        <w:rPr>
          <w:rFonts w:hint="eastAsia"/>
          <w:sz w:val="30"/>
          <w:szCs w:val="30"/>
          <w:lang w:eastAsia="zh-CN"/>
        </w:rPr>
        <w:t>三</w:t>
      </w:r>
      <w:r>
        <w:rPr>
          <w:rFonts w:hint="eastAsia"/>
          <w:sz w:val="30"/>
          <w:szCs w:val="30"/>
        </w:rPr>
        <w:t>、</w:t>
      </w:r>
      <w:r>
        <w:rPr>
          <w:rFonts w:hint="eastAsia" w:eastAsia="宋体"/>
          <w:sz w:val="30"/>
          <w:szCs w:val="30"/>
          <w:lang w:eastAsia="zh-CN"/>
        </w:rPr>
        <w:t>新</w:t>
      </w:r>
      <w:r>
        <w:rPr>
          <w:rFonts w:hint="eastAsia"/>
          <w:sz w:val="30"/>
          <w:szCs w:val="30"/>
        </w:rPr>
        <w:t>《</w:t>
      </w:r>
      <w:r>
        <w:rPr>
          <w:rFonts w:hint="eastAsia"/>
          <w:sz w:val="30"/>
          <w:szCs w:val="30"/>
          <w:lang w:eastAsia="zh-CN"/>
        </w:rPr>
        <w:t>办法</w:t>
      </w:r>
      <w:r>
        <w:rPr>
          <w:rFonts w:hint="eastAsia"/>
          <w:sz w:val="30"/>
          <w:szCs w:val="30"/>
        </w:rPr>
        <w:t>》适用范围</w:t>
      </w:r>
    </w:p>
    <w:p>
      <w:pPr>
        <w:ind w:firstLine="600" w:firstLineChars="200"/>
        <w:rPr>
          <w:rFonts w:hint="eastAsia"/>
          <w:sz w:val="30"/>
          <w:szCs w:val="30"/>
        </w:rPr>
      </w:pPr>
      <w:bookmarkStart w:id="0" w:name="_GoBack"/>
      <w:bookmarkEnd w:id="0"/>
      <w:r>
        <w:rPr>
          <w:rFonts w:hint="eastAsia" w:eastAsia="宋体"/>
          <w:sz w:val="30"/>
          <w:szCs w:val="30"/>
          <w:lang w:eastAsia="zh-CN"/>
        </w:rPr>
        <w:t>新</w:t>
      </w:r>
      <w:r>
        <w:rPr>
          <w:rFonts w:hint="eastAsia"/>
          <w:sz w:val="30"/>
          <w:szCs w:val="30"/>
        </w:rPr>
        <w:t>《办法》自201</w:t>
      </w:r>
      <w:r>
        <w:rPr>
          <w:rFonts w:hint="eastAsia"/>
          <w:sz w:val="30"/>
          <w:szCs w:val="30"/>
          <w:lang w:val="en-US" w:eastAsia="zh-CN"/>
        </w:rPr>
        <w:t>8</w:t>
      </w:r>
      <w:r>
        <w:rPr>
          <w:rFonts w:hint="eastAsia"/>
          <w:sz w:val="30"/>
          <w:szCs w:val="30"/>
        </w:rPr>
        <w:t>年</w:t>
      </w:r>
      <w:r>
        <w:rPr>
          <w:rFonts w:hint="eastAsia" w:eastAsia="宋体"/>
          <w:sz w:val="30"/>
          <w:szCs w:val="30"/>
          <w:lang w:val="en-US" w:eastAsia="zh-CN"/>
        </w:rPr>
        <w:t>6</w:t>
      </w:r>
      <w:r>
        <w:rPr>
          <w:rFonts w:hint="eastAsia"/>
          <w:sz w:val="30"/>
          <w:szCs w:val="30"/>
        </w:rPr>
        <w:t>月</w:t>
      </w:r>
      <w:r>
        <w:rPr>
          <w:rFonts w:hint="eastAsia" w:eastAsia="宋体"/>
          <w:sz w:val="30"/>
          <w:szCs w:val="30"/>
          <w:lang w:val="en-US" w:eastAsia="zh-CN"/>
        </w:rPr>
        <w:t>21</w:t>
      </w:r>
      <w:r>
        <w:rPr>
          <w:rFonts w:hint="eastAsia"/>
          <w:sz w:val="30"/>
          <w:szCs w:val="30"/>
        </w:rPr>
        <w:t>日起施行。</w:t>
      </w:r>
      <w:r>
        <w:rPr>
          <w:rFonts w:hint="eastAsia"/>
          <w:sz w:val="30"/>
          <w:szCs w:val="30"/>
          <w:lang w:eastAsia="zh-CN"/>
        </w:rPr>
        <w:t>在新昌县境内从事预拌混凝土生产、经营、运输、使用、管理的单位和个人，均</w:t>
      </w:r>
      <w:r>
        <w:rPr>
          <w:rFonts w:hint="eastAsia"/>
          <w:sz w:val="30"/>
          <w:szCs w:val="30"/>
        </w:rPr>
        <w:t xml:space="preserve">适用本办法。 </w:t>
      </w:r>
    </w:p>
    <w:p>
      <w:pPr>
        <w:ind w:firstLine="600" w:firstLineChars="200"/>
        <w:rPr>
          <w:rFonts w:hint="eastAsia"/>
          <w:sz w:val="30"/>
          <w:szCs w:val="30"/>
        </w:rPr>
      </w:pPr>
      <w:r>
        <w:rPr>
          <w:rFonts w:hint="eastAsia"/>
          <w:sz w:val="30"/>
          <w:szCs w:val="30"/>
        </w:rPr>
        <w:t>解读机关：</w:t>
      </w:r>
      <w:r>
        <w:rPr>
          <w:rFonts w:hint="eastAsia"/>
          <w:sz w:val="30"/>
          <w:szCs w:val="30"/>
          <w:lang w:eastAsia="zh-CN"/>
        </w:rPr>
        <w:t>新昌县建设局</w:t>
      </w:r>
    </w:p>
    <w:p>
      <w:pPr>
        <w:rPr>
          <w:rFonts w:hint="eastAsia"/>
          <w:sz w:val="30"/>
          <w:szCs w:val="30"/>
        </w:rPr>
      </w:pPr>
      <w:r>
        <w:rPr>
          <w:rFonts w:hint="eastAsia"/>
          <w:sz w:val="30"/>
          <w:szCs w:val="30"/>
        </w:rPr>
        <w:t xml:space="preserve">    解读人：</w:t>
      </w:r>
      <w:r>
        <w:rPr>
          <w:rFonts w:hint="eastAsia" w:eastAsia="宋体"/>
          <w:sz w:val="30"/>
          <w:szCs w:val="30"/>
          <w:lang w:eastAsia="zh-CN"/>
        </w:rPr>
        <w:t>张军江</w:t>
      </w:r>
      <w:r>
        <w:rPr>
          <w:rFonts w:hint="eastAsia" w:eastAsia="宋体"/>
          <w:sz w:val="30"/>
          <w:szCs w:val="30"/>
          <w:lang w:val="en-US" w:eastAsia="zh-CN"/>
        </w:rPr>
        <w:t xml:space="preserve">   吴伟英</w:t>
      </w:r>
    </w:p>
    <w:p>
      <w:pPr>
        <w:rPr>
          <w:sz w:val="30"/>
          <w:szCs w:val="30"/>
          <w:lang w:val="en-US"/>
        </w:rPr>
      </w:pPr>
      <w:r>
        <w:rPr>
          <w:rFonts w:hint="eastAsia"/>
          <w:sz w:val="30"/>
          <w:szCs w:val="30"/>
        </w:rPr>
        <w:t xml:space="preserve">    联系电话：</w:t>
      </w:r>
      <w:r>
        <w:rPr>
          <w:rFonts w:hint="eastAsia" w:eastAsia="宋体"/>
          <w:sz w:val="30"/>
          <w:szCs w:val="30"/>
          <w:lang w:val="en-US" w:eastAsia="zh-CN"/>
        </w:rPr>
        <w:t>86024085  86939851</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RomanS"/>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等线">
    <w:altName w:val="宋体"/>
    <w:panose1 w:val="00000000000000000000"/>
    <w:charset w:val="86"/>
    <w:family w:val="auto"/>
    <w:pitch w:val="default"/>
    <w:sig w:usb0="00000000" w:usb1="00000000" w:usb2="00000000" w:usb3="00000000" w:csb0="00000000" w:csb1="00000000"/>
  </w:font>
  <w:font w:name="等线 Light">
    <w:altName w:val="宋体"/>
    <w:panose1 w:val="00000000000000000000"/>
    <w:charset w:val="86"/>
    <w:family w:val="roman"/>
    <w:pitch w:val="default"/>
    <w:sig w:usb0="00000000" w:usb1="00000000" w:usb2="00000000" w:usb3="00000000" w:csb0="00000000" w:csb1="00000000"/>
  </w:font>
  <w:font w:name="方正小标宋简体">
    <w:altName w:val="黑体"/>
    <w:panose1 w:val="00000000000000000000"/>
    <w:charset w:val="86"/>
    <w:family w:val="auto"/>
    <w:pitch w:val="default"/>
    <w:sig w:usb0="00000000" w:usb1="00000000" w:usb2="00000000" w:usb3="00000000" w:csb0="00040000" w:csb1="00000000"/>
  </w:font>
  <w:font w:name="Segoe Print">
    <w:altName w:val="Verdana"/>
    <w:panose1 w:val="02000600000000000000"/>
    <w:charset w:val="00"/>
    <w:family w:val="auto"/>
    <w:pitch w:val="default"/>
    <w:sig w:usb0="00000000" w:usb1="00000000" w:usb2="00000000" w:usb3="00000000" w:csb0="2000009F" w:csb1="4701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等线 Light">
    <w:altName w:val="RomanS"/>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Helvetica">
    <w:altName w:val="Arial"/>
    <w:panose1 w:val="020B0604020202020204"/>
    <w:charset w:val="00"/>
    <w:family w:val="swiss"/>
    <w:pitch w:val="default"/>
    <w:sig w:usb0="00000000" w:usb1="00000000" w:usb2="00000000" w:usb3="00000000" w:csb0="00000000" w:csb1="00000000"/>
  </w:font>
  <w:font w:name="Batang">
    <w:altName w:val="GulimChe"/>
    <w:panose1 w:val="02030600000101010101"/>
    <w:charset w:val="81"/>
    <w:family w:val="roman"/>
    <w:pitch w:val="default"/>
    <w:sig w:usb0="00000000" w:usb1="00000000" w:usb2="00000030" w:usb3="00000000" w:csb0="4008009F" w:csb1="DFD70000"/>
  </w:font>
  <w:font w:name="MS Gothic">
    <w:panose1 w:val="020B0609070205080204"/>
    <w:charset w:val="80"/>
    <w:family w:val="auto"/>
    <w:pitch w:val="default"/>
    <w:sig w:usb0="A00002BF" w:usb1="68C7FCFB" w:usb2="00000010" w:usb3="00000000" w:csb0="4002009F" w:csb1="DFD70000"/>
  </w:font>
  <w:font w:name="Arial">
    <w:panose1 w:val="020B0604020202020204"/>
    <w:charset w:val="00"/>
    <w:family w:val="auto"/>
    <w:pitch w:val="default"/>
    <w:sig w:usb0="00007A87" w:usb1="80000000" w:usb2="00000008" w:usb3="00000000" w:csb0="400001FF" w:csb1="FFFF0000"/>
  </w:font>
  <w:font w:name="华文黑体">
    <w:altName w:val="黑体"/>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华文仿宋">
    <w:altName w:val="仿宋_GB2312"/>
    <w:panose1 w:val="02010600040101010101"/>
    <w:charset w:val="86"/>
    <w:family w:val="auto"/>
    <w:pitch w:val="default"/>
    <w:sig w:usb0="00000000" w:usb1="00000000" w:usb2="00000000" w:usb3="00000000" w:csb0="0004009F" w:csb1="DFD70000"/>
  </w:font>
  <w:font w:name="DengXian">
    <w:altName w:val="宋体"/>
    <w:panose1 w:val="02010600030101010101"/>
    <w:charset w:val="00"/>
    <w:family w:val="auto"/>
    <w:pitch w:val="default"/>
    <w:sig w:usb0="00000000" w:usb1="00000000" w:usb2="00000000" w:usb3="00000000" w:csb0="00000000" w:csb1="00000000"/>
  </w:font>
  <w:font w:name="等线">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Century Gothic">
    <w:panose1 w:val="020B0502020202020204"/>
    <w:charset w:val="00"/>
    <w:family w:val="auto"/>
    <w:pitch w:val="default"/>
    <w:sig w:usb0="00000287" w:usb1="00000000" w:usb2="00000000" w:usb3="00000000" w:csb0="2000009F" w:csb1="DFD70000"/>
  </w:font>
  <w:font w:name="Verdana">
    <w:panose1 w:val="020B0604030504040204"/>
    <w:charset w:val="00"/>
    <w:family w:val="auto"/>
    <w:pitch w:val="default"/>
    <w:sig w:usb0="00000287" w:usb1="00000000" w:usb2="00000000" w:usb3="00000000" w:csb0="2000019F" w:csb1="00000000"/>
  </w:font>
  <w:font w:name="GulimChe">
    <w:panose1 w:val="020B0609000101010101"/>
    <w:charset w:val="81"/>
    <w:family w:val="auto"/>
    <w:pitch w:val="default"/>
    <w:sig w:usb0="B00002AF" w:usb1="69D77CFB" w:usb2="00000030" w:usb3="00000000" w:csb0="4008009F" w:csb1="DFD7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Dotum">
    <w:panose1 w:val="020B0600000101010101"/>
    <w:charset w:val="81"/>
    <w:family w:val="auto"/>
    <w:pitch w:val="default"/>
    <w:sig w:usb0="B00002AF" w:usb1="69D77CFB" w:usb2="00000030" w:usb3="00000000" w:csb0="4008009F" w:csb1="DFD70000"/>
  </w:font>
  <w:font w:name="@宋体">
    <w:panose1 w:val="02010600030101010101"/>
    <w:charset w:val="86"/>
    <w:family w:val="auto"/>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25"/>
    <w:rsid w:val="00245173"/>
    <w:rsid w:val="007C0831"/>
    <w:rsid w:val="00AE0068"/>
    <w:rsid w:val="00C40825"/>
    <w:rsid w:val="01053BB3"/>
    <w:rsid w:val="125A4061"/>
    <w:rsid w:val="16DA7A7F"/>
    <w:rsid w:val="27A070EB"/>
    <w:rsid w:val="2AF26A4F"/>
    <w:rsid w:val="38A05485"/>
    <w:rsid w:val="4376359F"/>
    <w:rsid w:val="5163654B"/>
    <w:rsid w:val="604F0358"/>
    <w:rsid w:val="62CC33C7"/>
    <w:rsid w:val="76537D97"/>
    <w:rsid w:val="79331C56"/>
    <w:rsid w:val="7B475D2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Plain Text"/>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
    <w:name w:val="Title"/>
    <w:basedOn w:val="1"/>
    <w:next w:val="1"/>
    <w:link w:val="7"/>
    <w:qFormat/>
    <w:uiPriority w:val="0"/>
    <w:pPr>
      <w:spacing w:before="240" w:after="60"/>
      <w:jc w:val="center"/>
      <w:outlineLvl w:val="0"/>
    </w:pPr>
    <w:rPr>
      <w:rFonts w:eastAsia="宋体" w:asciiTheme="majorHAnsi" w:hAnsiTheme="majorHAnsi" w:cstheme="majorBidi"/>
      <w:b/>
      <w:bCs/>
      <w:kern w:val="10"/>
      <w:sz w:val="32"/>
      <w:szCs w:val="32"/>
    </w:rPr>
  </w:style>
  <w:style w:type="character" w:customStyle="1" w:styleId="7">
    <w:name w:val="标题 字符"/>
    <w:basedOn w:val="5"/>
    <w:link w:val="4"/>
    <w:qFormat/>
    <w:uiPriority w:val="0"/>
    <w:rPr>
      <w:rFonts w:eastAsia="宋体" w:asciiTheme="majorHAnsi" w:hAnsiTheme="majorHAnsi" w:cstheme="majorBidi"/>
      <w:b/>
      <w:bCs/>
      <w:kern w:val="10"/>
      <w:sz w:val="32"/>
      <w:szCs w:val="32"/>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2ECD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135</Words>
  <Characters>774</Characters>
  <Lines>6</Lines>
  <Paragraphs>1</Paragraphs>
  <ScaleCrop>false</ScaleCrop>
  <LinksUpToDate>false</LinksUpToDate>
  <CharactersWithSpaces>908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2017-12-15T03:07:00Z</dcterms:created>
  <dc:creator>Administrator</dc:creator>
  <cp:lastModifiedBy>Administrator</cp:lastModifiedBy>
  <dcterms:modified xsi:type="dcterms:W3CDTF">2018-07-10T02:08:30Z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