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ind w:firstLine="3054" w:firstLineChars="845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租赁合同</w:t>
      </w:r>
      <w:r>
        <w:rPr>
          <w:rFonts w:hint="eastAsia" w:asciiTheme="minorEastAsia" w:hAnsiTheme="minorEastAsia" w:eastAsiaTheme="minorEastAsia"/>
          <w:b/>
          <w:szCs w:val="21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00" w:lineRule="exact"/>
        <w:ind w:firstLine="2086" w:firstLineChars="745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出租方（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/>
        </w:rPr>
        <w:t>承租方（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根据《中华人民共和国合同法》及有关规定，为明确出租双方的权利义务关系，经双方协商一致，签订本合同。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第一条：租赁范围及用途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自愿将座落在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新昌县七星街道合新村原小学房屋、原村办公楼、原老茶厂及附属的场地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（建筑面积约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266.98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平方米，场地面积约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1032.68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平方米），出租给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作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营业用房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使用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主要用于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已对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所要出租的房地产做了充分了解，愿意承租该房地产。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第二条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租赁期限、租金和租金的交纳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租期：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租赁期共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年，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日起将该房地产（包括该建筑物范围内的房地产）交付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使用至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日止收回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租金总额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万元，成交价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万元/每年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。租金前5年不变，后5年的年租金在前5年的基础上环比递增8%。前5年租金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none"/>
          <w:lang w:val="en-US" w:eastAsia="zh-CN" w:bidi="ar-SA"/>
        </w:rPr>
        <w:t>万元，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后5年租金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none"/>
          <w:lang w:val="en-US" w:eastAsia="zh-CN" w:bidi="ar-SA"/>
        </w:rPr>
        <w:t>万元，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最后5年租金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u w:val="none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交纳方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式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①第一次，拍卖成交后，按拍卖文件所规定付款时间即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>日前一次性支付第一年租金；②第二年起，于租期开始前1个月 （     月     日） 向委托方付清次年的租金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  <w:lang w:val="en-US" w:eastAsia="zh-CN"/>
        </w:rPr>
        <w:t>履约保证金：人民币100万元（大写：   ），按合同约定退还（不计息）。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第三条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保证出租的房地产权属清楚。若发生与出租有关的产权纠纷或债务债权，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概由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负责清理，并承担民事诉讼责任，由此给承租造成的经济损失，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负责赔偿。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保证承租上述房地产作为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第四条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房地产租赁期内、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保证并承担下列责任：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1、上述房地产符合出租使用要求。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2、如需出卖或抵押上述房地产，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将提前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 xml:space="preserve">  1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个月通知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第五条：财政支持政策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  <w:lang w:val="en-US" w:eastAsia="zh-CN"/>
        </w:rPr>
        <w:t>为拓展农村旅游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  <w:lang w:val="en-US" w:eastAsia="zh-CN"/>
        </w:rPr>
        <w:t>推进共同富裕、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</w:rPr>
        <w:t>加快产业发展，甲方负责协调政府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  <w:lang w:val="en-US" w:eastAsia="zh-CN"/>
        </w:rPr>
        <w:t>争取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</w:rPr>
        <w:t>项目相应财政支持政策，结合政府重点招商引资项目给予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none"/>
        </w:rPr>
        <w:t>支持，例各级政府对该行业的税收、项目资金、用地用工人才等方面优惠政策。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第六条：双方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责任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(1）甲方应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配合乙方提供相关资料，协助乙方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涉及该项目的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有关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部门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的审批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，为项目顺利推进提供方便。同时，负责协调和当地村民关系，创造良好和谐的投资发展环境。</w:t>
      </w:r>
    </w:p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甲方应按照乙方需要予以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电、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水等基础配套设施，并保障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目运营停车需求，配套建设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容纳50辆车以上的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停车场（停车场由村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统一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管理）。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）甲方确保乙方在经营期限内正常使用，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除征用和拆迁等政策性原因不得无故收回出租房地产的使用权，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如因甲方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无故收回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造成乙方损失的，按第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条明确的违约责任处理。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2、乙方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乙方应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在拍卖成交十五日内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编制项目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设计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方案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供甲方审核，方案须配合周边旅游生态主题，并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全面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投入项目所需的所有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建设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内容，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包括后续相应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实施和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运营管理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(2)乙方不得利用项目开展违法经营项目。</w:t>
      </w:r>
    </w:p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(3)乙方在承租期前3年内累计投资不少于600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，其中包含修缮原房屋建筑，面积不少于500㎡。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(4)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乙方应积极办理项目实施相关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审批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手续，合法经营，保证项目的设施、内容的安全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合法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，自觉接受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甲方及有关部门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的监督、检查，保障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安全。经营期间相关场所的安全事故由乙方负责，与甲方无关。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第七条：其他约定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default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1、该项目因租赁产生的税费，以及在租赁期内所需缴纳的税费由乙方负责。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在租赁期内投资在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新增建筑、不可移动的装修及设施，租赁到期后无偿归甲方所有，不得拆除。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、为保证信用，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在签订合同时向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 xml:space="preserve">交履约保证金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乙方如按要求在前3年期限内达到投资额600万元以上的（投资金额需经第三方评估确认），则甲方退还履约保证金85万元，剩余15万履约保证金到期无违约行为退还；如未能按要求达到投资金额，则甲方有权作乙方违约处理，履约保证金不予退还，相关法律责任和经济损失由乙方自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如因政府规划征用、拆迁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原因，要在租赁期限内提前终止该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房地产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的租赁权，则必须提前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个月向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发出书面通知，则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应无条件配合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个月内及时腾空房屋，交还给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，剩余租金按实际承租日期无息返还。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投资在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新增建筑、装修、设施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28"/>
          <w:szCs w:val="28"/>
        </w:rPr>
        <w:t>经营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损失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等，则按当时征用、拆迁的政策予以补偿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但不得超过政策补偿范围。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第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条:违约责任</w:t>
      </w:r>
    </w:p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甲乙双方必须严格履行本协议约定,如有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无故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违背并造成另一方损失的视为违约,违约方必须承担守约方所投入的损损失(具体以实际投入金额为依据)。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、乙方未能在合理期限内完成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合同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所列职责或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不按期交付租金等相关费用、违反合同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约定或未经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同意私自转让、互换、承包，以及未履行合同相关约定的，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有权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提前解除合同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没收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履约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保证金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第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条:其他事项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本合同未尽事宜双方可以签订补充协议,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补充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协议为本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合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同的补充与更正,当补充协议与本合同条款发生冲突时,应应以补充协议的约定为准。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如因不不可抗力因素导致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承租的房地产及新增设施、设备损失的，双方互不承担责任。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双方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可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协商变更或解除本协议。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本合同未尽事宜，经甲、乙双方协商一致，可订立补充条款。补充条款及附件均为本合同组成部分，与本合同具有同等法律效力。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如遇合同纠纷，双方因协商解决，协商不成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,可向当地法院浣起诉。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、本协议壹式陆份,签约各方各执叁份。(以下下无正文)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 xml:space="preserve">（签章）              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（签章）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法定代表人                       法定代表人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委托代理人                       委托代理人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地址                             地址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电话                             电话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签约地点                         签订日期：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right="0"/>
        <w:jc w:val="left"/>
        <w:textAlignment w:val="auto"/>
        <w:rPr>
          <w:rFonts w:hint="eastAsia" w:ascii="仿宋" w:hAnsi="仿宋" w:eastAsia="仿宋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B19D7"/>
    <w:multiLevelType w:val="singleLevel"/>
    <w:tmpl w:val="C6BB19D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012705"/>
    <w:multiLevelType w:val="singleLevel"/>
    <w:tmpl w:val="4F01270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61809B9"/>
    <w:multiLevelType w:val="singleLevel"/>
    <w:tmpl w:val="761809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46D0B"/>
    <w:rsid w:val="140514DB"/>
    <w:rsid w:val="142B6E81"/>
    <w:rsid w:val="149A0664"/>
    <w:rsid w:val="1503766A"/>
    <w:rsid w:val="1EEC28C4"/>
    <w:rsid w:val="290B668A"/>
    <w:rsid w:val="39D52829"/>
    <w:rsid w:val="3CCF39F7"/>
    <w:rsid w:val="3DDC1CFE"/>
    <w:rsid w:val="553F008F"/>
    <w:rsid w:val="5585799C"/>
    <w:rsid w:val="59A4795B"/>
    <w:rsid w:val="638156AC"/>
    <w:rsid w:val="678B67C3"/>
    <w:rsid w:val="71297EBA"/>
    <w:rsid w:val="751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20" w:lineRule="exact"/>
      <w:ind w:firstLine="600" w:firstLineChars="200"/>
    </w:pPr>
    <w:rPr>
      <w:rFonts w:ascii="仿宋_GB2312" w:hAnsi="Times New Roman" w:eastAsia="仿宋_GB2312"/>
      <w:kern w:val="0"/>
      <w:sz w:val="30"/>
      <w:szCs w:val="3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2023-02-17T07:43:00Z</dcterms:created>
  <dc:creator>Administrator</dc:creator>
  <cp:lastModifiedBy>Administrator</cp:lastModifiedBy>
  <dcterms:modified xsi:type="dcterms:W3CDTF">2023-03-09T01:14:42Z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