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42"/>
        <w:jc w:val="both"/>
        <w:rPr>
          <w:rFonts w:hint="eastAsia" w:eastAsia="方正小标宋简体"/>
          <w:color w:val="auto"/>
          <w:highlight w:val="none"/>
          <w:lang w:eastAsia="zh-CN"/>
        </w:rPr>
      </w:pPr>
      <w:r>
        <w:rPr>
          <w:rFonts w:hint="eastAsia"/>
          <w:color w:val="auto"/>
          <w:highlight w:val="none"/>
          <w:lang w:eastAsia="zh-CN"/>
        </w:rPr>
        <w:t>新昌县</w:t>
      </w:r>
      <w:r>
        <w:rPr>
          <w:color w:val="auto"/>
          <w:highlight w:val="none"/>
        </w:rPr>
        <w:t>深化基层卫生健康综合改革实施方案</w:t>
      </w:r>
    </w:p>
    <w:p>
      <w:pPr>
        <w:pStyle w:val="3"/>
        <w:spacing w:before="6"/>
        <w:jc w:val="center"/>
        <w:rPr>
          <w:rFonts w:hint="eastAsia" w:asciiTheme="majorEastAsia" w:hAnsiTheme="majorEastAsia" w:eastAsiaTheme="majorEastAsia" w:cstheme="majorEastAsia"/>
          <w:color w:val="auto"/>
          <w:sz w:val="35"/>
          <w:highlight w:val="none"/>
        </w:rPr>
      </w:pPr>
      <w:r>
        <w:rPr>
          <w:rFonts w:hint="eastAsia" w:asciiTheme="majorEastAsia" w:hAnsiTheme="majorEastAsia" w:eastAsiaTheme="majorEastAsia" w:cstheme="majorEastAsia"/>
          <w:color w:val="auto"/>
          <w:sz w:val="35"/>
          <w:highlight w:val="none"/>
        </w:rPr>
        <w:t>（</w:t>
      </w:r>
      <w:r>
        <w:rPr>
          <w:rFonts w:hint="eastAsia" w:asciiTheme="majorEastAsia" w:hAnsiTheme="majorEastAsia" w:eastAsiaTheme="majorEastAsia" w:cstheme="majorEastAsia"/>
          <w:color w:val="auto"/>
          <w:sz w:val="35"/>
          <w:highlight w:val="none"/>
          <w:lang w:eastAsia="zh-CN"/>
        </w:rPr>
        <w:t>征求意见</w:t>
      </w:r>
      <w:bookmarkStart w:id="0" w:name="_GoBack"/>
      <w:bookmarkEnd w:id="0"/>
      <w:r>
        <w:rPr>
          <w:rFonts w:hint="eastAsia" w:asciiTheme="majorEastAsia" w:hAnsiTheme="majorEastAsia" w:eastAsiaTheme="majorEastAsia" w:cstheme="majorEastAsia"/>
          <w:color w:val="auto"/>
          <w:sz w:val="35"/>
          <w:highlight w:val="none"/>
        </w:rPr>
        <w:t>稿）</w:t>
      </w:r>
    </w:p>
    <w:p>
      <w:pPr>
        <w:pStyle w:val="3"/>
        <w:spacing w:before="6"/>
        <w:jc w:val="both"/>
        <w:rPr>
          <w:rFonts w:hint="eastAsia" w:ascii="方正小标宋简体"/>
          <w:color w:val="auto"/>
          <w:sz w:val="35"/>
          <w:highlight w:val="none"/>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113" w:right="243" w:firstLine="631"/>
        <w:jc w:val="both"/>
        <w:textAlignment w:val="auto"/>
        <w:rPr>
          <w:color w:val="auto"/>
          <w:highlight w:val="none"/>
        </w:rPr>
      </w:pPr>
      <w:r>
        <w:rPr>
          <w:color w:val="auto"/>
          <w:highlight w:val="none"/>
        </w:rPr>
        <w:t>为推进我</w:t>
      </w:r>
      <w:r>
        <w:rPr>
          <w:rFonts w:hint="eastAsia"/>
          <w:color w:val="auto"/>
          <w:highlight w:val="none"/>
          <w:lang w:eastAsia="zh-CN"/>
        </w:rPr>
        <w:t>县</w:t>
      </w:r>
      <w:r>
        <w:rPr>
          <w:color w:val="auto"/>
          <w:highlight w:val="none"/>
        </w:rPr>
        <w:t>基层卫生健康事业高质量发展，不断提升基层卫生健康服务能力和水平，奋力打造共同富裕示范区</w:t>
      </w:r>
      <w:r>
        <w:rPr>
          <w:rFonts w:hint="eastAsia"/>
          <w:color w:val="auto"/>
          <w:highlight w:val="none"/>
          <w:lang w:eastAsia="zh-CN"/>
        </w:rPr>
        <w:t>县</w:t>
      </w:r>
      <w:r>
        <w:rPr>
          <w:color w:val="auto"/>
          <w:highlight w:val="none"/>
        </w:rPr>
        <w:t>域范例相匹</w:t>
      </w:r>
      <w:r>
        <w:rPr>
          <w:color w:val="auto"/>
          <w:w w:val="95"/>
          <w:highlight w:val="none"/>
        </w:rPr>
        <w:t>配的基层卫生服务</w:t>
      </w:r>
      <w:r>
        <w:rPr>
          <w:color w:val="auto"/>
          <w:highlight w:val="none"/>
        </w:rPr>
        <w:t>体系，更好</w:t>
      </w:r>
      <w:r>
        <w:rPr>
          <w:rFonts w:hint="eastAsia"/>
          <w:color w:val="auto"/>
          <w:highlight w:val="none"/>
          <w:lang w:val="en-US" w:eastAsia="zh-CN"/>
        </w:rPr>
        <w:t>地</w:t>
      </w:r>
      <w:r>
        <w:rPr>
          <w:color w:val="auto"/>
          <w:highlight w:val="none"/>
        </w:rPr>
        <w:t>满足群众健康</w:t>
      </w:r>
      <w:r>
        <w:rPr>
          <w:rFonts w:hint="eastAsia"/>
          <w:color w:val="auto"/>
          <w:highlight w:val="none"/>
          <w:lang w:eastAsia="zh-CN"/>
        </w:rPr>
        <w:t>服务</w:t>
      </w:r>
      <w:r>
        <w:rPr>
          <w:color w:val="auto"/>
          <w:highlight w:val="none"/>
        </w:rPr>
        <w:t>需求，</w:t>
      </w:r>
      <w:r>
        <w:rPr>
          <w:rFonts w:hint="eastAsia"/>
          <w:color w:val="auto"/>
          <w:highlight w:val="none"/>
        </w:rPr>
        <w:t>根据《绍兴市深化基层卫生健康综合改革实施方案》</w:t>
      </w:r>
      <w:r>
        <w:rPr>
          <w:rFonts w:hint="eastAsia"/>
          <w:color w:val="auto"/>
          <w:highlight w:val="none"/>
          <w:lang w:eastAsia="zh-CN"/>
        </w:rPr>
        <w:t>，</w:t>
      </w:r>
      <w:r>
        <w:rPr>
          <w:color w:val="auto"/>
          <w:highlight w:val="none"/>
        </w:rPr>
        <w:t>特制订本方案。</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113" w:right="243" w:firstLine="631"/>
        <w:jc w:val="both"/>
        <w:textAlignment w:val="auto"/>
        <w:rPr>
          <w:rFonts w:hint="eastAsia" w:ascii="黑体" w:hAnsi="黑体" w:eastAsia="黑体" w:cs="黑体"/>
          <w:color w:val="auto"/>
          <w:highlight w:val="none"/>
        </w:rPr>
      </w:pPr>
      <w:r>
        <w:rPr>
          <w:rFonts w:hint="eastAsia" w:ascii="黑体" w:hAnsi="黑体" w:eastAsia="黑体" w:cs="黑体"/>
          <w:color w:val="auto"/>
          <w:highlight w:val="none"/>
        </w:rPr>
        <w:t>一、工作目标</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113" w:right="243" w:firstLine="631"/>
        <w:jc w:val="both"/>
        <w:textAlignment w:val="auto"/>
        <w:rPr>
          <w:color w:val="auto"/>
          <w:highlight w:val="none"/>
        </w:rPr>
      </w:pPr>
      <w:r>
        <w:rPr>
          <w:color w:val="auto"/>
          <w:highlight w:val="none"/>
        </w:rPr>
        <w:t>以习近平新时代中国</w:t>
      </w:r>
      <w:r>
        <w:rPr>
          <w:color w:val="auto"/>
          <w:highlight w:val="none"/>
          <w:u w:val="none"/>
        </w:rPr>
        <w:t>特色社会主义思想为指导</w:t>
      </w:r>
      <w:r>
        <w:rPr>
          <w:rFonts w:hint="eastAsia"/>
          <w:color w:val="auto"/>
          <w:highlight w:val="none"/>
          <w:u w:val="none"/>
          <w:lang w:eastAsia="zh-CN"/>
        </w:rPr>
        <w:t>，</w:t>
      </w:r>
      <w:r>
        <w:rPr>
          <w:color w:val="auto"/>
          <w:highlight w:val="none"/>
          <w:u w:val="none"/>
        </w:rPr>
        <w:t>贯彻落实“以基层为重点”的新时代</w:t>
      </w:r>
      <w:r>
        <w:rPr>
          <w:rFonts w:hint="eastAsia"/>
          <w:color w:val="auto"/>
          <w:highlight w:val="none"/>
          <w:u w:val="none"/>
          <w:lang w:val="en-US" w:eastAsia="zh-CN"/>
        </w:rPr>
        <w:t>党的</w:t>
      </w:r>
      <w:r>
        <w:rPr>
          <w:color w:val="auto"/>
          <w:highlight w:val="none"/>
          <w:u w:val="none"/>
        </w:rPr>
        <w:t>卫生与健康工作方针，</w:t>
      </w:r>
      <w:r>
        <w:rPr>
          <w:rFonts w:hint="eastAsia"/>
          <w:color w:val="auto"/>
          <w:highlight w:val="none"/>
          <w:u w:val="none"/>
          <w:lang w:eastAsia="zh-CN"/>
        </w:rPr>
        <w:t>加快落实省第十五次党代会“着力加强基层医疗卫生体系建设”的要求，</w:t>
      </w:r>
      <w:r>
        <w:rPr>
          <w:color w:val="auto"/>
          <w:highlight w:val="none"/>
          <w:u w:val="none"/>
        </w:rPr>
        <w:t>全面落实基层卫生健康各项政</w:t>
      </w:r>
      <w:r>
        <w:rPr>
          <w:color w:val="auto"/>
          <w:highlight w:val="none"/>
        </w:rPr>
        <w:t>策，在投入保障、管理体制、运行机制、服务模式等方面进一步改革创新，树立可复制</w:t>
      </w:r>
      <w:r>
        <w:rPr>
          <w:rFonts w:hint="eastAsia"/>
          <w:color w:val="auto"/>
          <w:highlight w:val="none"/>
          <w:lang w:eastAsia="zh-CN"/>
        </w:rPr>
        <w:t>、</w:t>
      </w:r>
      <w:r>
        <w:rPr>
          <w:color w:val="auto"/>
          <w:highlight w:val="none"/>
        </w:rPr>
        <w:t>可推广、可借鉴的基层卫生健康工作</w:t>
      </w:r>
      <w:r>
        <w:rPr>
          <w:rFonts w:hint="eastAsia"/>
          <w:color w:val="auto"/>
          <w:highlight w:val="none"/>
          <w:lang w:val="en-US" w:eastAsia="zh-CN"/>
        </w:rPr>
        <w:t>县域</w:t>
      </w:r>
      <w:r>
        <w:rPr>
          <w:color w:val="auto"/>
          <w:highlight w:val="none"/>
        </w:rPr>
        <w:t>示范标杆。到2025年，基本建立健全区域协调、城乡一体、医防协同、中西并重、富有韧性的县域整合型医疗卫生服务体系，基层医疗卫生服务网底织得更密更牢，基层健康服务能力提档升级，</w:t>
      </w:r>
      <w:r>
        <w:rPr>
          <w:color w:val="auto"/>
          <w:spacing w:val="-20"/>
          <w:sz w:val="32"/>
          <w:highlight w:val="none"/>
        </w:rPr>
        <w:t>城乡健康人居环境持续改进提升</w:t>
      </w:r>
      <w:r>
        <w:rPr>
          <w:rFonts w:hint="eastAsia"/>
          <w:color w:val="auto"/>
          <w:spacing w:val="-20"/>
          <w:sz w:val="32"/>
          <w:highlight w:val="none"/>
          <w:lang w:eastAsia="zh-CN"/>
        </w:rPr>
        <w:t>，</w:t>
      </w:r>
      <w:r>
        <w:rPr>
          <w:color w:val="auto"/>
          <w:highlight w:val="none"/>
        </w:rPr>
        <w:t>居民享有优质</w:t>
      </w:r>
      <w:r>
        <w:rPr>
          <w:rFonts w:hint="eastAsia"/>
          <w:color w:val="auto"/>
          <w:highlight w:val="none"/>
          <w:lang w:eastAsia="zh-CN"/>
        </w:rPr>
        <w:t>、</w:t>
      </w:r>
      <w:r>
        <w:rPr>
          <w:color w:val="auto"/>
          <w:highlight w:val="none"/>
        </w:rPr>
        <w:t>均衡、普惠的全生命周期医疗健康服务，为实现城乡宜居宜业、群众富裕富足夯实健康之基。</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113" w:right="243" w:firstLine="631"/>
        <w:jc w:val="both"/>
        <w:textAlignment w:val="auto"/>
        <w:rPr>
          <w:rFonts w:hint="eastAsia"/>
          <w:color w:val="auto"/>
          <w:highlight w:val="none"/>
        </w:rPr>
      </w:pPr>
      <w:r>
        <w:rPr>
          <w:rFonts w:hint="eastAsia" w:eastAsia="黑体"/>
          <w:color w:val="auto"/>
          <w:highlight w:val="none"/>
          <w:lang w:eastAsia="zh-CN"/>
        </w:rPr>
        <w:t>二、</w:t>
      </w:r>
      <w:r>
        <w:rPr>
          <w:rFonts w:hint="eastAsia" w:ascii="黑体" w:eastAsia="黑体"/>
          <w:color w:val="auto"/>
          <w:highlight w:val="none"/>
        </w:rPr>
        <w:t>重点任务</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243" w:firstLine="560" w:firstLineChars="200"/>
        <w:jc w:val="both"/>
        <w:textAlignment w:val="auto"/>
        <w:rPr>
          <w:rFonts w:hint="eastAsia" w:ascii="楷体" w:hAnsi="楷体" w:eastAsia="楷体" w:cs="楷体"/>
          <w:color w:val="auto"/>
          <w:spacing w:val="-20"/>
          <w:sz w:val="32"/>
          <w:highlight w:val="none"/>
        </w:rPr>
      </w:pPr>
      <w:r>
        <w:rPr>
          <w:rFonts w:hint="eastAsia" w:ascii="楷体" w:hAnsi="楷体" w:eastAsia="楷体" w:cs="楷体"/>
          <w:color w:val="auto"/>
          <w:spacing w:val="-20"/>
          <w:sz w:val="32"/>
          <w:highlight w:val="none"/>
        </w:rPr>
        <w:t>（一）</w:t>
      </w:r>
      <w:r>
        <w:rPr>
          <w:rFonts w:hint="eastAsia" w:ascii="楷体" w:hAnsi="楷体" w:eastAsia="楷体" w:cs="楷体"/>
          <w:color w:val="auto"/>
          <w:spacing w:val="-20"/>
          <w:sz w:val="32"/>
          <w:highlight w:val="none"/>
          <w:lang w:eastAsia="zh-CN"/>
        </w:rPr>
        <w:t>围绕“提能级”，打造优质高效基层医疗卫生服务体系</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113" w:right="243" w:firstLine="631"/>
        <w:jc w:val="both"/>
        <w:textAlignment w:val="auto"/>
        <w:rPr>
          <w:color w:val="000000" w:themeColor="text1"/>
          <w:highlight w:val="none"/>
          <w:u w:val="none"/>
        </w:rPr>
      </w:pPr>
      <w:r>
        <w:rPr>
          <w:rFonts w:hint="eastAsia"/>
          <w:color w:val="auto"/>
          <w:highlight w:val="none"/>
          <w:lang w:val="en-US" w:eastAsia="zh-CN"/>
        </w:rPr>
        <w:t>1.</w:t>
      </w:r>
      <w:r>
        <w:rPr>
          <w:color w:val="auto"/>
          <w:highlight w:val="none"/>
        </w:rPr>
        <w:t>建设高水</w:t>
      </w:r>
      <w:r>
        <w:rPr>
          <w:color w:val="auto"/>
          <w:highlight w:val="none"/>
          <w:u w:val="none"/>
        </w:rPr>
        <w:t>平县域</w:t>
      </w:r>
      <w:r>
        <w:rPr>
          <w:b w:val="0"/>
          <w:bCs w:val="0"/>
          <w:color w:val="auto"/>
          <w:highlight w:val="none"/>
          <w:u w:val="none"/>
        </w:rPr>
        <w:t>医共体</w:t>
      </w:r>
      <w:r>
        <w:rPr>
          <w:color w:val="auto"/>
          <w:highlight w:val="none"/>
          <w:u w:val="none"/>
        </w:rPr>
        <w:t>。</w:t>
      </w:r>
      <w:r>
        <w:rPr>
          <w:rFonts w:hint="eastAsia"/>
          <w:color w:val="auto"/>
          <w:highlight w:val="none"/>
          <w:u w:val="none"/>
          <w:lang w:eastAsia="zh-CN"/>
        </w:rPr>
        <w:t>围绕</w:t>
      </w:r>
      <w:r>
        <w:rPr>
          <w:rFonts w:hint="eastAsia"/>
          <w:color w:val="auto"/>
          <w:highlight w:val="none"/>
          <w:u w:val="none"/>
        </w:rPr>
        <w:t>全面建设高水平县级医院</w:t>
      </w:r>
      <w:r>
        <w:rPr>
          <w:rFonts w:hint="eastAsia"/>
          <w:color w:val="auto"/>
          <w:highlight w:val="none"/>
          <w:u w:val="none"/>
          <w:lang w:eastAsia="zh-CN"/>
        </w:rPr>
        <w:t>目标，</w:t>
      </w:r>
      <w:r>
        <w:rPr>
          <w:color w:val="auto"/>
          <w:highlight w:val="none"/>
          <w:u w:val="none"/>
        </w:rPr>
        <w:t>持续</w:t>
      </w:r>
      <w:r>
        <w:rPr>
          <w:rFonts w:hint="eastAsia"/>
          <w:color w:val="auto"/>
          <w:highlight w:val="none"/>
          <w:u w:val="none"/>
        </w:rPr>
        <w:t>深化县域医共体建设</w:t>
      </w:r>
      <w:r>
        <w:rPr>
          <w:color w:val="auto"/>
          <w:highlight w:val="none"/>
          <w:u w:val="none"/>
        </w:rPr>
        <w:t>，实现医共体集团化管理、一体化经营和连续式服务，使医共体成</w:t>
      </w:r>
      <w:r>
        <w:rPr>
          <w:color w:val="auto"/>
          <w:highlight w:val="none"/>
        </w:rPr>
        <w:t>为服务、责任、利益、管理、文化共同体。强化多部门制度供给，充分落实医共体经营管理自主权，落实“一家人”“</w:t>
      </w:r>
      <w:r>
        <w:rPr>
          <w:color w:val="auto"/>
          <w:highlight w:val="none"/>
          <w:u w:val="none"/>
        </w:rPr>
        <w:t>一本账”“一盘棋”改革要求，促进优质医疗资源和财政投入在基层发挥更大作用。突出功能分层级、管理网格化、服务一体化，完善医共体岗位设置、财务管理和绩效分配等制度</w:t>
      </w:r>
      <w:r>
        <w:rPr>
          <w:rFonts w:hint="eastAsia"/>
          <w:color w:val="auto"/>
          <w:highlight w:val="none"/>
          <w:u w:val="none"/>
          <w:lang w:eastAsia="zh-CN"/>
        </w:rPr>
        <w:t>。</w:t>
      </w:r>
      <w:r>
        <w:rPr>
          <w:color w:val="auto"/>
          <w:highlight w:val="none"/>
          <w:u w:val="none"/>
        </w:rPr>
        <w:t>强化医防协同，健全医共体“</w:t>
      </w:r>
      <w:r>
        <w:rPr>
          <w:rFonts w:hint="eastAsia"/>
          <w:color w:val="auto"/>
          <w:highlight w:val="none"/>
          <w:u w:val="none"/>
          <w:lang w:eastAsia="zh-CN"/>
        </w:rPr>
        <w:t>两</w:t>
      </w:r>
      <w:r>
        <w:rPr>
          <w:color w:val="auto"/>
          <w:highlight w:val="none"/>
          <w:u w:val="none"/>
        </w:rPr>
        <w:t>员一中心一团队”工作机制，健全医疗机构与疾控</w:t>
      </w:r>
      <w:r>
        <w:rPr>
          <w:color w:val="000000" w:themeColor="text1"/>
          <w:highlight w:val="none"/>
          <w:u w:val="none"/>
        </w:rPr>
        <w:t>、妇幼、</w:t>
      </w:r>
      <w:r>
        <w:rPr>
          <w:rFonts w:hint="eastAsia"/>
          <w:color w:val="000000" w:themeColor="text1"/>
          <w:highlight w:val="none"/>
          <w:u w:val="none"/>
          <w:lang w:eastAsia="zh-CN"/>
        </w:rPr>
        <w:t>监督</w:t>
      </w:r>
      <w:r>
        <w:rPr>
          <w:color w:val="000000" w:themeColor="text1"/>
          <w:highlight w:val="none"/>
          <w:u w:val="none"/>
        </w:rPr>
        <w:t>等专业公共卫生机构密切协作</w:t>
      </w:r>
      <w:r>
        <w:rPr>
          <w:rFonts w:hint="eastAsia"/>
          <w:color w:val="000000" w:themeColor="text1"/>
          <w:highlight w:val="none"/>
          <w:u w:val="none"/>
          <w:lang w:eastAsia="zh-CN"/>
        </w:rPr>
        <w:t>机制</w:t>
      </w:r>
      <w:r>
        <w:rPr>
          <w:color w:val="000000" w:themeColor="text1"/>
          <w:highlight w:val="none"/>
          <w:u w:val="none"/>
        </w:rPr>
        <w:t>，进一步落实公共卫生职责。（责任单位：</w:t>
      </w:r>
      <w:r>
        <w:rPr>
          <w:rFonts w:hint="eastAsia" w:cs="仿宋_GB2312"/>
          <w:color w:val="000000" w:themeColor="text1"/>
          <w:spacing w:val="-13"/>
          <w:sz w:val="32"/>
          <w:szCs w:val="32"/>
          <w:highlight w:val="none"/>
          <w:u w:val="none"/>
          <w:lang w:val="zh-CN" w:eastAsia="zh-CN" w:bidi="zh-CN"/>
        </w:rPr>
        <w:t>县卫生健康局</w:t>
      </w:r>
      <w:r>
        <w:rPr>
          <w:color w:val="000000" w:themeColor="text1"/>
          <w:highlight w:val="none"/>
          <w:u w:val="none"/>
        </w:rPr>
        <w:t>、</w:t>
      </w:r>
      <w:r>
        <w:rPr>
          <w:rFonts w:hint="eastAsia"/>
          <w:color w:val="000000" w:themeColor="text1"/>
          <w:highlight w:val="none"/>
          <w:u w:val="none"/>
          <w:lang w:eastAsia="zh-CN"/>
        </w:rPr>
        <w:t>县</w:t>
      </w:r>
      <w:r>
        <w:rPr>
          <w:color w:val="000000" w:themeColor="text1"/>
          <w:highlight w:val="none"/>
          <w:u w:val="none"/>
        </w:rPr>
        <w:t>财政局、</w:t>
      </w:r>
      <w:r>
        <w:rPr>
          <w:rFonts w:hint="eastAsia"/>
          <w:color w:val="000000" w:themeColor="text1"/>
          <w:highlight w:val="none"/>
          <w:u w:val="none"/>
          <w:lang w:eastAsia="zh-CN"/>
        </w:rPr>
        <w:t>县</w:t>
      </w:r>
      <w:r>
        <w:rPr>
          <w:color w:val="000000" w:themeColor="text1"/>
          <w:highlight w:val="none"/>
          <w:u w:val="none"/>
        </w:rPr>
        <w:t>人力社保局、</w:t>
      </w:r>
      <w:r>
        <w:rPr>
          <w:rFonts w:hint="eastAsia"/>
          <w:color w:val="000000" w:themeColor="text1"/>
          <w:highlight w:val="none"/>
          <w:u w:val="none"/>
          <w:lang w:eastAsia="zh-CN"/>
        </w:rPr>
        <w:t>县</w:t>
      </w:r>
      <w:r>
        <w:rPr>
          <w:color w:val="000000" w:themeColor="text1"/>
          <w:highlight w:val="none"/>
          <w:u w:val="none"/>
        </w:rPr>
        <w:t>医疗保障局）</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243" w:firstLine="628" w:firstLineChars="200"/>
        <w:jc w:val="both"/>
        <w:textAlignment w:val="auto"/>
        <w:rPr>
          <w:color w:val="auto"/>
          <w:spacing w:val="-3"/>
          <w:sz w:val="32"/>
          <w:highlight w:val="none"/>
        </w:rPr>
      </w:pPr>
      <w:r>
        <w:rPr>
          <w:rFonts w:hint="eastAsia"/>
          <w:color w:val="000000" w:themeColor="text1"/>
          <w:spacing w:val="-3"/>
          <w:sz w:val="32"/>
          <w:highlight w:val="none"/>
          <w:u w:val="none"/>
          <w:lang w:val="en-US" w:eastAsia="zh-CN"/>
        </w:rPr>
        <w:t>2.推动基层医疗卫生机构提档升级。</w:t>
      </w:r>
      <w:r>
        <w:rPr>
          <w:color w:val="000000" w:themeColor="text1"/>
          <w:spacing w:val="-3"/>
          <w:sz w:val="32"/>
          <w:highlight w:val="none"/>
          <w:u w:val="none"/>
        </w:rPr>
        <w:t>深入开展</w:t>
      </w:r>
      <w:r>
        <w:rPr>
          <w:rFonts w:hint="eastAsia"/>
          <w:color w:val="000000" w:themeColor="text1"/>
          <w:spacing w:val="-3"/>
          <w:sz w:val="32"/>
          <w:highlight w:val="none"/>
          <w:u w:val="none"/>
          <w:lang w:eastAsia="zh-CN"/>
        </w:rPr>
        <w:t>“优质服务基层行”活动和社区医院建设工作，</w:t>
      </w:r>
      <w:r>
        <w:rPr>
          <w:rFonts w:hint="eastAsia"/>
          <w:color w:val="000000" w:themeColor="text1"/>
          <w:spacing w:val="-3"/>
          <w:sz w:val="32"/>
          <w:highlight w:val="none"/>
          <w:u w:val="none"/>
          <w:lang w:val="en-US" w:eastAsia="zh-CN"/>
        </w:rPr>
        <w:t>健全医疗质量持续改进机制，积极落实“三年回头看”工作，实现100%的乡镇卫生院(社区卫生服务中心)达到“优质服务基层行”活动“基本标准”，40%达到“推荐标准”，20%建成社区医院或达到二级综合医院医疗服务能</w:t>
      </w:r>
      <w:r>
        <w:rPr>
          <w:rFonts w:hint="eastAsia"/>
          <w:color w:val="auto"/>
          <w:spacing w:val="-3"/>
          <w:sz w:val="32"/>
          <w:highlight w:val="none"/>
          <w:u w:val="none"/>
          <w:lang w:val="en-US" w:eastAsia="zh-CN"/>
        </w:rPr>
        <w:t>力水平。推进医共体分院打造以心脑血管、康复、护理、长期照护、安宁疗护等为主的联合病房，医共体实行垂直管理，通过“设备、人员、业务、绩效”四统筹，实现病房建设标准化、管理规范化、服务同质化、考核一体化。深化基层名医工作室和基层特色科室建设，打造明星级基层医疗卫生单位，基层名医名科建设覆盖率</w:t>
      </w:r>
      <w:r>
        <w:rPr>
          <w:color w:val="auto"/>
          <w:spacing w:val="-3"/>
          <w:sz w:val="32"/>
          <w:highlight w:val="none"/>
        </w:rPr>
        <w:t>达到</w:t>
      </w:r>
      <w:r>
        <w:rPr>
          <w:rFonts w:hint="eastAsia"/>
          <w:color w:val="auto"/>
          <w:spacing w:val="-3"/>
          <w:sz w:val="32"/>
          <w:highlight w:val="none"/>
          <w:lang w:val="en-US" w:eastAsia="zh-CN"/>
        </w:rPr>
        <w:t>80%以上</w:t>
      </w:r>
      <w:r>
        <w:rPr>
          <w:color w:val="auto"/>
          <w:spacing w:val="-3"/>
          <w:sz w:val="32"/>
          <w:highlight w:val="none"/>
        </w:rPr>
        <w:t>。实施以奖代补机制，对达到“社区医院或二级综合医院医疗服务能力水平”的乡镇卫生院（社区卫生服务中心）</w:t>
      </w:r>
      <w:r>
        <w:rPr>
          <w:color w:val="auto"/>
          <w:spacing w:val="-3"/>
          <w:sz w:val="32"/>
          <w:highlight w:val="none"/>
          <w:u w:val="none"/>
        </w:rPr>
        <w:t>，</w:t>
      </w:r>
      <w:r>
        <w:rPr>
          <w:rFonts w:hint="eastAsia" w:ascii="仿宋_GB2312" w:hAnsi="仿宋_GB2312" w:eastAsia="仿宋_GB2312" w:cs="仿宋_GB2312"/>
          <w:color w:val="000000" w:themeColor="text1"/>
          <w:spacing w:val="3"/>
          <w:sz w:val="32"/>
          <w:szCs w:val="32"/>
          <w:highlight w:val="none"/>
          <w:u w:val="none"/>
          <w:lang w:val="en-US" w:eastAsia="zh-CN" w:bidi="zh-CN"/>
        </w:rPr>
        <w:t>县财政给予每家30万元的奖励；</w:t>
      </w:r>
      <w:r>
        <w:rPr>
          <w:rFonts w:hint="eastAsia"/>
          <w:color w:val="000000" w:themeColor="text1"/>
          <w:spacing w:val="-3"/>
          <w:sz w:val="32"/>
          <w:highlight w:val="none"/>
          <w:u w:val="none"/>
          <w:lang w:eastAsia="zh-CN"/>
        </w:rPr>
        <w:t>对达到</w:t>
      </w:r>
      <w:r>
        <w:rPr>
          <w:color w:val="000000" w:themeColor="text1"/>
          <w:spacing w:val="-3"/>
          <w:sz w:val="32"/>
          <w:highlight w:val="none"/>
          <w:u w:val="none"/>
        </w:rPr>
        <w:t>“推荐标准”</w:t>
      </w:r>
      <w:r>
        <w:rPr>
          <w:rFonts w:hint="eastAsia"/>
          <w:color w:val="000000" w:themeColor="text1"/>
          <w:spacing w:val="-3"/>
          <w:sz w:val="32"/>
          <w:highlight w:val="none"/>
          <w:u w:val="none"/>
          <w:lang w:eastAsia="zh-CN"/>
        </w:rPr>
        <w:t>、</w:t>
      </w:r>
      <w:r>
        <w:rPr>
          <w:color w:val="000000" w:themeColor="text1"/>
          <w:spacing w:val="-3"/>
          <w:sz w:val="32"/>
          <w:highlight w:val="none"/>
          <w:u w:val="none"/>
        </w:rPr>
        <w:t>基层名医名科</w:t>
      </w:r>
      <w:r>
        <w:rPr>
          <w:rFonts w:hint="eastAsia"/>
          <w:color w:val="000000" w:themeColor="text1"/>
          <w:spacing w:val="-3"/>
          <w:sz w:val="32"/>
          <w:highlight w:val="none"/>
          <w:u w:val="none"/>
          <w:lang w:eastAsia="zh-CN"/>
        </w:rPr>
        <w:t>（市级及以上）</w:t>
      </w:r>
      <w:r>
        <w:rPr>
          <w:color w:val="000000" w:themeColor="text1"/>
          <w:spacing w:val="-3"/>
          <w:sz w:val="32"/>
          <w:highlight w:val="none"/>
          <w:u w:val="none"/>
        </w:rPr>
        <w:t>和全省基层医疗卫生机构绩效考核A及A+的乡镇卫生院（社区卫生服务中心），</w:t>
      </w:r>
      <w:r>
        <w:rPr>
          <w:rFonts w:hint="eastAsia"/>
          <w:color w:val="000000" w:themeColor="text1"/>
          <w:spacing w:val="-3"/>
          <w:sz w:val="32"/>
          <w:highlight w:val="none"/>
          <w:u w:val="none"/>
          <w:lang w:eastAsia="zh-CN"/>
        </w:rPr>
        <w:t>县财政分别</w:t>
      </w:r>
      <w:r>
        <w:rPr>
          <w:color w:val="000000" w:themeColor="text1"/>
          <w:spacing w:val="-3"/>
          <w:sz w:val="32"/>
          <w:highlight w:val="none"/>
          <w:u w:val="none"/>
        </w:rPr>
        <w:t>给予</w:t>
      </w:r>
      <w:r>
        <w:rPr>
          <w:rFonts w:hint="eastAsia"/>
          <w:color w:val="000000" w:themeColor="text1"/>
          <w:spacing w:val="-3"/>
          <w:sz w:val="32"/>
          <w:highlight w:val="none"/>
          <w:u w:val="none"/>
          <w:lang w:val="en-US" w:eastAsia="zh-CN"/>
        </w:rPr>
        <w:t>每家15万元的</w:t>
      </w:r>
      <w:r>
        <w:rPr>
          <w:color w:val="000000" w:themeColor="text1"/>
          <w:spacing w:val="-3"/>
          <w:sz w:val="32"/>
          <w:highlight w:val="none"/>
          <w:u w:val="none"/>
        </w:rPr>
        <w:t>奖励。</w:t>
      </w:r>
      <w:r>
        <w:rPr>
          <w:color w:val="auto"/>
          <w:spacing w:val="-3"/>
          <w:sz w:val="32"/>
          <w:highlight w:val="none"/>
          <w:u w:val="none"/>
        </w:rPr>
        <w:t>（</w:t>
      </w:r>
      <w:r>
        <w:rPr>
          <w:color w:val="auto"/>
          <w:spacing w:val="-3"/>
          <w:sz w:val="32"/>
          <w:highlight w:val="none"/>
        </w:rPr>
        <w:t>责任单位：</w:t>
      </w:r>
      <w:r>
        <w:rPr>
          <w:rFonts w:hint="eastAsia"/>
          <w:color w:val="auto"/>
          <w:spacing w:val="-3"/>
          <w:sz w:val="32"/>
          <w:highlight w:val="none"/>
          <w:lang w:val="zh-CN" w:eastAsia="zh-CN"/>
        </w:rPr>
        <w:t>县卫生健康局</w:t>
      </w:r>
      <w:r>
        <w:rPr>
          <w:rFonts w:hint="eastAsia"/>
          <w:color w:val="auto"/>
          <w:spacing w:val="-3"/>
          <w:sz w:val="32"/>
          <w:highlight w:val="none"/>
          <w:lang w:eastAsia="zh-CN"/>
        </w:rPr>
        <w:t>、县</w:t>
      </w:r>
      <w:r>
        <w:rPr>
          <w:color w:val="auto"/>
          <w:spacing w:val="-3"/>
          <w:sz w:val="32"/>
          <w:highlight w:val="none"/>
        </w:rPr>
        <w:t>财政局，</w:t>
      </w:r>
      <w:r>
        <w:rPr>
          <w:rFonts w:hint="eastAsia"/>
          <w:color w:val="auto"/>
          <w:spacing w:val="-3"/>
          <w:sz w:val="32"/>
          <w:highlight w:val="none"/>
          <w:lang w:eastAsia="zh-CN"/>
        </w:rPr>
        <w:t>各乡镇街道</w:t>
      </w:r>
      <w:r>
        <w:rPr>
          <w:color w:val="auto"/>
          <w:spacing w:val="-3"/>
          <w:sz w:val="32"/>
          <w:highlight w:val="none"/>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113" w:right="243" w:firstLine="631"/>
        <w:jc w:val="both"/>
        <w:textAlignment w:val="auto"/>
        <w:rPr>
          <w:rFonts w:hint="eastAsia"/>
          <w:color w:val="auto"/>
          <w:spacing w:val="-1"/>
          <w:highlight w:val="none"/>
          <w:lang w:eastAsia="zh-CN"/>
        </w:rPr>
      </w:pPr>
      <w:r>
        <w:rPr>
          <w:rFonts w:hint="eastAsia"/>
          <w:color w:val="000000" w:themeColor="text1"/>
          <w:highlight w:val="none"/>
          <w:lang w:val="en-US" w:eastAsia="zh-CN"/>
        </w:rPr>
        <w:t>3.</w:t>
      </w:r>
      <w:r>
        <w:rPr>
          <w:rFonts w:hint="eastAsia"/>
          <w:color w:val="000000" w:themeColor="text1"/>
          <w:highlight w:val="none"/>
        </w:rPr>
        <w:t>筑牢村级医疗卫生</w:t>
      </w:r>
      <w:r>
        <w:rPr>
          <w:rFonts w:hint="eastAsia"/>
          <w:color w:val="auto"/>
          <w:highlight w:val="none"/>
        </w:rPr>
        <w:t>服务“网底”</w:t>
      </w:r>
      <w:r>
        <w:rPr>
          <w:color w:val="auto"/>
          <w:highlight w:val="none"/>
        </w:rPr>
        <w:t>。</w:t>
      </w:r>
      <w:r>
        <w:rPr>
          <w:rFonts w:hint="eastAsia" w:ascii="仿宋_GB2312" w:hAnsi="仿宋_GB2312" w:eastAsia="仿宋_GB2312" w:cs="仿宋_GB2312"/>
          <w:color w:val="auto"/>
          <w:sz w:val="32"/>
          <w:szCs w:val="32"/>
          <w:highlight w:val="none"/>
          <w:u w:val="none"/>
          <w:lang w:val="en-US" w:eastAsia="zh-CN" w:bidi="zh-CN"/>
        </w:rPr>
        <w:t>组织实施村级医疗卫生服务体系优化提升行动，</w:t>
      </w:r>
      <w:r>
        <w:rPr>
          <w:rFonts w:hint="eastAsia" w:cs="仿宋_GB2312"/>
          <w:color w:val="auto"/>
          <w:sz w:val="32"/>
          <w:szCs w:val="32"/>
          <w:highlight w:val="none"/>
          <w:u w:val="none"/>
          <w:lang w:val="en-US" w:eastAsia="zh-CN" w:bidi="zh-CN"/>
        </w:rPr>
        <w:t>打造农村</w:t>
      </w:r>
      <w:r>
        <w:rPr>
          <w:rFonts w:hint="eastAsia" w:ascii="仿宋_GB2312" w:hAnsi="仿宋_GB2312" w:eastAsia="仿宋_GB2312" w:cs="仿宋_GB2312"/>
          <w:color w:val="auto"/>
          <w:sz w:val="32"/>
          <w:szCs w:val="32"/>
          <w:highlight w:val="none"/>
          <w:u w:val="none"/>
          <w:lang w:val="en-US" w:eastAsia="zh-CN" w:bidi="zh-CN"/>
        </w:rPr>
        <w:t>20分钟医疗卫生服务圈</w:t>
      </w:r>
      <w:r>
        <w:rPr>
          <w:rFonts w:hint="eastAsia" w:cs="仿宋_GB2312"/>
          <w:color w:val="auto"/>
          <w:sz w:val="32"/>
          <w:szCs w:val="32"/>
          <w:highlight w:val="none"/>
          <w:u w:val="none"/>
          <w:lang w:val="en-US" w:eastAsia="zh-CN" w:bidi="zh-CN"/>
        </w:rPr>
        <w:t>，</w:t>
      </w:r>
      <w:r>
        <w:rPr>
          <w:rFonts w:hint="eastAsia" w:ascii="仿宋_GB2312" w:hAnsi="仿宋_GB2312" w:eastAsia="仿宋_GB2312" w:cs="仿宋_GB2312"/>
          <w:color w:val="auto"/>
          <w:sz w:val="32"/>
          <w:szCs w:val="32"/>
          <w:highlight w:val="none"/>
          <w:u w:val="none"/>
          <w:lang w:val="en-US" w:eastAsia="zh-CN" w:bidi="zh-CN"/>
        </w:rPr>
        <w:t>通过点式</w:t>
      </w:r>
      <w:r>
        <w:rPr>
          <w:rFonts w:hint="eastAsia" w:cs="仿宋_GB2312"/>
          <w:color w:val="auto"/>
          <w:sz w:val="32"/>
          <w:szCs w:val="32"/>
          <w:highlight w:val="none"/>
          <w:u w:val="none"/>
          <w:lang w:val="en-US" w:eastAsia="zh-CN" w:bidi="zh-CN"/>
        </w:rPr>
        <w:t>医疗</w:t>
      </w:r>
      <w:r>
        <w:rPr>
          <w:rFonts w:hint="eastAsia" w:ascii="仿宋_GB2312" w:hAnsi="仿宋_GB2312" w:eastAsia="仿宋_GB2312" w:cs="仿宋_GB2312"/>
          <w:color w:val="auto"/>
          <w:sz w:val="32"/>
          <w:szCs w:val="32"/>
          <w:highlight w:val="none"/>
          <w:u w:val="none"/>
          <w:lang w:val="en-US" w:eastAsia="zh-CN" w:bidi="zh-CN"/>
        </w:rPr>
        <w:t>（村卫生室）为主，巡回医疗、远程医疗等方式为补充的服务模式，确保群众就近就便享受基本医疗卫生服务。加快40个鼓励发展村医疗卫生服务升级，逐年推进有条件的村开展党务、政务、商务、服务、医务“五务合一”试点，进一步优化推进适当发展村和转型发展村医疗卫生服务能力建设，实现村级医疗卫生服务网点有效覆盖、规范覆盖。加强</w:t>
      </w:r>
      <w:r>
        <w:rPr>
          <w:rFonts w:hint="eastAsia" w:cs="仿宋_GB2312"/>
          <w:color w:val="auto"/>
          <w:sz w:val="32"/>
          <w:szCs w:val="32"/>
          <w:highlight w:val="none"/>
          <w:u w:val="none"/>
          <w:lang w:val="en-US" w:eastAsia="zh-CN" w:bidi="zh-CN"/>
        </w:rPr>
        <w:t>医疗卫生</w:t>
      </w:r>
      <w:r>
        <w:rPr>
          <w:rFonts w:hint="eastAsia" w:ascii="仿宋_GB2312" w:hAnsi="仿宋_GB2312" w:eastAsia="仿宋_GB2312" w:cs="仿宋_GB2312"/>
          <w:color w:val="auto"/>
          <w:sz w:val="32"/>
          <w:szCs w:val="32"/>
          <w:highlight w:val="none"/>
          <w:u w:val="none"/>
          <w:lang w:val="en-US" w:eastAsia="zh-CN" w:bidi="zh-CN"/>
        </w:rPr>
        <w:t>用房保障，村卫生室（社区卫生服务站）的服务用房由属地乡镇（街道）、村免费提供或改造。</w:t>
      </w:r>
      <w:r>
        <w:rPr>
          <w:rFonts w:hint="eastAsia"/>
          <w:color w:val="auto"/>
          <w:spacing w:val="-1"/>
          <w:sz w:val="32"/>
          <w:szCs w:val="32"/>
          <w:highlight w:val="none"/>
          <w:u w:val="none"/>
          <w:lang w:val="en-US" w:eastAsia="zh-CN"/>
        </w:rPr>
        <w:t>(</w:t>
      </w:r>
      <w:r>
        <w:rPr>
          <w:color w:val="000000" w:themeColor="text1"/>
          <w:spacing w:val="-1"/>
          <w:sz w:val="32"/>
          <w:szCs w:val="32"/>
          <w:highlight w:val="none"/>
          <w:u w:val="none"/>
        </w:rPr>
        <w:t>责任单位：</w:t>
      </w:r>
      <w:r>
        <w:rPr>
          <w:rFonts w:hint="eastAsia" w:cs="仿宋_GB2312"/>
          <w:color w:val="000000" w:themeColor="text1"/>
          <w:spacing w:val="-13"/>
          <w:sz w:val="32"/>
          <w:szCs w:val="32"/>
          <w:highlight w:val="none"/>
          <w:u w:val="none"/>
          <w:lang w:val="zh-CN" w:eastAsia="zh-CN" w:bidi="zh-CN"/>
        </w:rPr>
        <w:t>县卫生健康局</w:t>
      </w:r>
      <w:r>
        <w:rPr>
          <w:color w:val="000000" w:themeColor="text1"/>
          <w:spacing w:val="-17"/>
          <w:w w:val="95"/>
          <w:sz w:val="32"/>
          <w:szCs w:val="32"/>
          <w:highlight w:val="none"/>
          <w:u w:val="none"/>
        </w:rPr>
        <w:t>、</w:t>
      </w:r>
      <w:r>
        <w:rPr>
          <w:rFonts w:hint="eastAsia"/>
          <w:color w:val="000000" w:themeColor="text1"/>
          <w:spacing w:val="-1"/>
          <w:sz w:val="32"/>
          <w:szCs w:val="32"/>
          <w:highlight w:val="none"/>
          <w:u w:val="none"/>
          <w:lang w:eastAsia="zh-CN"/>
        </w:rPr>
        <w:t>县发改局、县财政局、县人力社保局、县农业农村局、</w:t>
      </w:r>
      <w:r>
        <w:rPr>
          <w:rFonts w:hint="eastAsia"/>
          <w:color w:val="000000" w:themeColor="text1"/>
          <w:sz w:val="32"/>
          <w:szCs w:val="32"/>
          <w:highlight w:val="none"/>
          <w:u w:val="none"/>
          <w:lang w:eastAsia="zh-CN"/>
        </w:rPr>
        <w:t>县</w:t>
      </w:r>
      <w:r>
        <w:rPr>
          <w:color w:val="000000" w:themeColor="text1"/>
          <w:sz w:val="32"/>
          <w:szCs w:val="32"/>
          <w:highlight w:val="none"/>
          <w:u w:val="none"/>
        </w:rPr>
        <w:t>医疗保障局</w:t>
      </w:r>
      <w:r>
        <w:rPr>
          <w:rFonts w:hint="eastAsia"/>
          <w:color w:val="000000" w:themeColor="text1"/>
          <w:spacing w:val="-1"/>
          <w:sz w:val="32"/>
          <w:szCs w:val="32"/>
          <w:highlight w:val="none"/>
          <w:u w:val="none"/>
          <w:lang w:eastAsia="zh-CN"/>
        </w:rPr>
        <w:t>，各</w:t>
      </w:r>
      <w:r>
        <w:rPr>
          <w:rFonts w:hint="eastAsia"/>
          <w:color w:val="auto"/>
          <w:spacing w:val="-1"/>
          <w:sz w:val="32"/>
          <w:szCs w:val="32"/>
          <w:highlight w:val="none"/>
          <w:lang w:eastAsia="zh-CN"/>
        </w:rPr>
        <w:t>乡镇街道）</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243" w:firstLine="560" w:firstLineChars="200"/>
        <w:jc w:val="both"/>
        <w:textAlignment w:val="auto"/>
        <w:rPr>
          <w:rFonts w:hint="eastAsia" w:ascii="楷体" w:hAnsi="楷体" w:eastAsia="楷体" w:cs="楷体"/>
          <w:color w:val="auto"/>
          <w:spacing w:val="-20"/>
          <w:sz w:val="32"/>
          <w:highlight w:val="none"/>
          <w:lang w:eastAsia="zh-CN"/>
        </w:rPr>
      </w:pPr>
      <w:r>
        <w:rPr>
          <w:rFonts w:hint="eastAsia" w:ascii="楷体" w:hAnsi="楷体" w:eastAsia="楷体" w:cs="楷体"/>
          <w:color w:val="auto"/>
          <w:spacing w:val="-20"/>
          <w:sz w:val="32"/>
          <w:highlight w:val="none"/>
        </w:rPr>
        <w:t>（二）</w:t>
      </w:r>
      <w:r>
        <w:rPr>
          <w:rFonts w:hint="eastAsia" w:ascii="楷体" w:hAnsi="楷体" w:eastAsia="楷体" w:cs="楷体"/>
          <w:color w:val="auto"/>
          <w:spacing w:val="-20"/>
          <w:sz w:val="32"/>
          <w:highlight w:val="none"/>
          <w:lang w:eastAsia="zh-CN"/>
        </w:rPr>
        <w:t>围绕“强供给”，提升基层医疗卫生服务能力</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243" w:firstLine="652" w:firstLineChars="200"/>
        <w:jc w:val="both"/>
        <w:textAlignment w:val="auto"/>
        <w:rPr>
          <w:rFonts w:hint="eastAsia" w:ascii="仿宋_GB2312" w:hAnsi="仿宋_GB2312" w:eastAsia="仿宋_GB2312" w:cs="仿宋_GB2312"/>
          <w:color w:val="auto"/>
          <w:spacing w:val="3"/>
          <w:sz w:val="32"/>
          <w:szCs w:val="32"/>
          <w:highlight w:val="none"/>
          <w:lang w:val="en-US" w:eastAsia="zh-CN" w:bidi="zh-CN"/>
        </w:rPr>
      </w:pPr>
      <w:r>
        <w:rPr>
          <w:rFonts w:hint="eastAsia" w:cs="仿宋_GB2312"/>
          <w:color w:val="auto"/>
          <w:spacing w:val="3"/>
          <w:sz w:val="32"/>
          <w:szCs w:val="32"/>
          <w:highlight w:val="none"/>
          <w:lang w:val="en-US" w:eastAsia="zh-CN" w:bidi="zh-CN"/>
        </w:rPr>
        <w:t>1.</w:t>
      </w:r>
      <w:r>
        <w:rPr>
          <w:rFonts w:hint="eastAsia" w:ascii="仿宋_GB2312" w:hAnsi="仿宋_GB2312" w:eastAsia="仿宋_GB2312" w:cs="仿宋_GB2312"/>
          <w:color w:val="auto"/>
          <w:spacing w:val="3"/>
          <w:sz w:val="32"/>
          <w:szCs w:val="32"/>
          <w:highlight w:val="none"/>
          <w:lang w:val="en-US" w:eastAsia="zh-CN" w:bidi="zh-CN"/>
        </w:rPr>
        <w:t>深化基本公共卫生服务。逐年提高人均基本公共卫生服务经费财政补助标准，持续优化按标化工作当量购买基本公共卫生服务方案。实施重点人群健康关爱工程，以高血压、糖尿病等慢性病全周期健康管理为突破口，推进医防融合，高血压、糖尿病患者规范管理率70%以上</w:t>
      </w:r>
      <w:r>
        <w:rPr>
          <w:rFonts w:hint="eastAsia" w:cs="仿宋_GB2312"/>
          <w:color w:val="auto"/>
          <w:spacing w:val="3"/>
          <w:sz w:val="32"/>
          <w:szCs w:val="32"/>
          <w:highlight w:val="none"/>
          <w:lang w:val="en-US" w:eastAsia="zh-CN" w:bidi="zh-CN"/>
        </w:rPr>
        <w:t>,</w:t>
      </w:r>
      <w:r>
        <w:rPr>
          <w:rFonts w:hint="eastAsia" w:ascii="仿宋_GB2312" w:hAnsi="仿宋_GB2312" w:eastAsia="仿宋_GB2312" w:cs="仿宋_GB2312"/>
          <w:color w:val="auto"/>
          <w:spacing w:val="3"/>
          <w:sz w:val="32"/>
          <w:szCs w:val="32"/>
          <w:highlight w:val="none"/>
          <w:lang w:val="en-US" w:eastAsia="zh-CN" w:bidi="zh-CN"/>
        </w:rPr>
        <w:t>在基层医疗卫生机构门诊就诊率</w:t>
      </w:r>
      <w:r>
        <w:rPr>
          <w:rFonts w:hint="eastAsia" w:cs="仿宋_GB2312"/>
          <w:color w:val="auto"/>
          <w:spacing w:val="3"/>
          <w:sz w:val="32"/>
          <w:szCs w:val="32"/>
          <w:highlight w:val="none"/>
          <w:lang w:val="en-US" w:eastAsia="zh-CN" w:bidi="zh-CN"/>
        </w:rPr>
        <w:t>65</w:t>
      </w:r>
      <w:r>
        <w:rPr>
          <w:rFonts w:hint="eastAsia" w:ascii="仿宋_GB2312" w:hAnsi="仿宋_GB2312" w:eastAsia="仿宋_GB2312" w:cs="仿宋_GB2312"/>
          <w:color w:val="auto"/>
          <w:spacing w:val="3"/>
          <w:sz w:val="32"/>
          <w:szCs w:val="32"/>
          <w:highlight w:val="none"/>
          <w:lang w:val="en-US" w:eastAsia="zh-CN" w:bidi="zh-CN"/>
        </w:rPr>
        <w:t>%以上。健全由医共体总院专科医生、分院全科医生共同组建“全专联合”家庭医生团队，建立家庭医生签约服务工作新机制，提升家庭医生签约服务质量。推进“互联网+签约服务”，家庭医生签约覆盖率达到50%以上，居民对社区卫生服务的满意度达到90%以上，人民群众健康获得感普遍增强。（责任单位：</w:t>
      </w:r>
      <w:r>
        <w:rPr>
          <w:rFonts w:hint="eastAsia" w:cs="仿宋_GB2312"/>
          <w:color w:val="auto"/>
          <w:spacing w:val="-13"/>
          <w:sz w:val="32"/>
          <w:szCs w:val="32"/>
          <w:highlight w:val="none"/>
          <w:lang w:val="zh-CN" w:eastAsia="zh-CN" w:bidi="zh-CN"/>
        </w:rPr>
        <w:t>县卫生健康局</w:t>
      </w:r>
      <w:r>
        <w:rPr>
          <w:color w:val="auto"/>
          <w:spacing w:val="-17"/>
          <w:w w:val="95"/>
          <w:highlight w:val="none"/>
        </w:rPr>
        <w:t>、</w:t>
      </w:r>
      <w:r>
        <w:rPr>
          <w:rFonts w:hint="eastAsia"/>
          <w:color w:val="auto"/>
          <w:spacing w:val="-1"/>
          <w:highlight w:val="none"/>
          <w:lang w:eastAsia="zh-CN"/>
        </w:rPr>
        <w:t>县财政局</w:t>
      </w:r>
      <w:r>
        <w:rPr>
          <w:rFonts w:hint="eastAsia" w:ascii="仿宋_GB2312" w:hAnsi="仿宋_GB2312" w:eastAsia="仿宋_GB2312" w:cs="仿宋_GB2312"/>
          <w:color w:val="auto"/>
          <w:spacing w:val="3"/>
          <w:sz w:val="32"/>
          <w:szCs w:val="32"/>
          <w:highlight w:val="none"/>
          <w:lang w:val="en-US" w:eastAsia="zh-CN" w:bidi="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243" w:firstLine="652" w:firstLineChars="200"/>
        <w:jc w:val="both"/>
        <w:textAlignment w:val="auto"/>
        <w:rPr>
          <w:rFonts w:hint="eastAsia" w:ascii="仿宋_GB2312" w:hAnsi="仿宋_GB2312" w:eastAsia="仿宋_GB2312" w:cs="仿宋_GB2312"/>
          <w:color w:val="000000" w:themeColor="text1"/>
          <w:spacing w:val="3"/>
          <w:sz w:val="32"/>
          <w:szCs w:val="32"/>
          <w:highlight w:val="none"/>
          <w:u w:val="none"/>
          <w:lang w:val="en-US" w:eastAsia="zh-CN" w:bidi="zh-CN"/>
        </w:rPr>
      </w:pPr>
      <w:r>
        <w:rPr>
          <w:rFonts w:hint="eastAsia" w:cs="仿宋_GB2312"/>
          <w:color w:val="auto"/>
          <w:spacing w:val="3"/>
          <w:sz w:val="32"/>
          <w:szCs w:val="32"/>
          <w:highlight w:val="none"/>
          <w:lang w:val="en-US" w:eastAsia="zh-CN" w:bidi="zh-CN"/>
        </w:rPr>
        <w:t>2</w:t>
      </w:r>
      <w:r>
        <w:rPr>
          <w:rFonts w:hint="eastAsia" w:ascii="仿宋_GB2312" w:hAnsi="仿宋_GB2312" w:eastAsia="仿宋_GB2312" w:cs="仿宋_GB2312"/>
          <w:color w:val="auto"/>
          <w:spacing w:val="3"/>
          <w:sz w:val="32"/>
          <w:szCs w:val="32"/>
          <w:highlight w:val="none"/>
          <w:lang w:val="en-US" w:eastAsia="zh-CN" w:bidi="zh-CN"/>
        </w:rPr>
        <w:t>.</w:t>
      </w:r>
      <w:r>
        <w:rPr>
          <w:rFonts w:hint="eastAsia" w:ascii="仿宋_GB2312" w:hAnsi="仿宋_GB2312" w:eastAsia="仿宋_GB2312" w:cs="仿宋_GB2312"/>
          <w:color w:val="auto"/>
          <w:spacing w:val="3"/>
          <w:sz w:val="32"/>
          <w:szCs w:val="32"/>
          <w:highlight w:val="none"/>
          <w:lang w:val="zh-CN" w:eastAsia="zh-CN" w:bidi="zh-CN"/>
        </w:rPr>
        <w:t>加强中医药服务供给。巩固和深化“中医基层化、应用智能化、服务一体化”中医药特色发展改革的道路，全面提升基层中医药特色服务能力，加强符合社区诊疗特点的中医特色专科专病建设，深入推进中医药融入社区健康服务一体化发展，完善中医药与基层相关资源充分融合、协同发展机制，实现中医药在家庭医生团队服务中的全覆盖。充分发挥中医药在基层常见病、多发病、慢性病防治和重点人群健康管理中的特色优势，大力推广中医药适宜技术。实现乡镇卫生院（街道社区卫生服务中心）</w:t>
      </w:r>
      <w:r>
        <w:rPr>
          <w:rFonts w:hint="eastAsia" w:cs="仿宋_GB2312"/>
          <w:color w:val="auto"/>
          <w:spacing w:val="3"/>
          <w:sz w:val="32"/>
          <w:szCs w:val="32"/>
          <w:highlight w:val="none"/>
          <w:lang w:val="zh-CN" w:eastAsia="zh-CN" w:bidi="zh-CN"/>
        </w:rPr>
        <w:t>提供</w:t>
      </w:r>
      <w:r>
        <w:rPr>
          <w:rFonts w:hint="eastAsia" w:ascii="仿宋_GB2312" w:hAnsi="仿宋_GB2312" w:eastAsia="仿宋_GB2312" w:cs="仿宋_GB2312"/>
          <w:color w:val="auto"/>
          <w:spacing w:val="3"/>
          <w:sz w:val="32"/>
          <w:szCs w:val="32"/>
          <w:highlight w:val="none"/>
          <w:lang w:val="zh-CN" w:eastAsia="zh-CN" w:bidi="zh-CN"/>
        </w:rPr>
        <w:t>6类中医适宜</w:t>
      </w:r>
      <w:r>
        <w:rPr>
          <w:rFonts w:hint="eastAsia" w:ascii="仿宋_GB2312" w:hAnsi="仿宋_GB2312" w:eastAsia="仿宋_GB2312" w:cs="仿宋_GB2312"/>
          <w:color w:val="000000" w:themeColor="text1"/>
          <w:spacing w:val="3"/>
          <w:sz w:val="32"/>
          <w:szCs w:val="32"/>
          <w:highlight w:val="none"/>
          <w:u w:val="none"/>
          <w:lang w:val="zh-CN" w:eastAsia="zh-CN" w:bidi="zh-CN"/>
        </w:rPr>
        <w:t>技术服务全覆盖，基层中医</w:t>
      </w:r>
      <w:r>
        <w:rPr>
          <w:rFonts w:hint="eastAsia" w:cs="仿宋_GB2312"/>
          <w:color w:val="000000" w:themeColor="text1"/>
          <w:spacing w:val="3"/>
          <w:sz w:val="32"/>
          <w:szCs w:val="32"/>
          <w:highlight w:val="none"/>
          <w:u w:val="none"/>
          <w:lang w:val="zh-CN" w:eastAsia="zh-CN" w:bidi="zh-CN"/>
        </w:rPr>
        <w:t>诊疗</w:t>
      </w:r>
      <w:r>
        <w:rPr>
          <w:rFonts w:hint="eastAsia" w:ascii="仿宋_GB2312" w:hAnsi="仿宋_GB2312" w:eastAsia="仿宋_GB2312" w:cs="仿宋_GB2312"/>
          <w:color w:val="000000" w:themeColor="text1"/>
          <w:spacing w:val="3"/>
          <w:sz w:val="32"/>
          <w:szCs w:val="32"/>
          <w:highlight w:val="none"/>
          <w:u w:val="none"/>
          <w:lang w:val="zh-CN" w:eastAsia="zh-CN" w:bidi="zh-CN"/>
        </w:rPr>
        <w:t>人次占总</w:t>
      </w:r>
      <w:r>
        <w:rPr>
          <w:rFonts w:hint="eastAsia" w:cs="仿宋_GB2312"/>
          <w:color w:val="000000" w:themeColor="text1"/>
          <w:spacing w:val="3"/>
          <w:sz w:val="32"/>
          <w:szCs w:val="32"/>
          <w:highlight w:val="none"/>
          <w:u w:val="none"/>
          <w:lang w:val="zh-CN" w:eastAsia="zh-CN" w:bidi="zh-CN"/>
        </w:rPr>
        <w:t>诊疗</w:t>
      </w:r>
      <w:r>
        <w:rPr>
          <w:rFonts w:hint="eastAsia" w:ascii="仿宋_GB2312" w:hAnsi="仿宋_GB2312" w:eastAsia="仿宋_GB2312" w:cs="仿宋_GB2312"/>
          <w:color w:val="000000" w:themeColor="text1"/>
          <w:spacing w:val="3"/>
          <w:sz w:val="32"/>
          <w:szCs w:val="32"/>
          <w:highlight w:val="none"/>
          <w:u w:val="none"/>
          <w:lang w:val="zh-CN" w:eastAsia="zh-CN" w:bidi="zh-CN"/>
        </w:rPr>
        <w:t>人次的30%以上</w:t>
      </w:r>
      <w:r>
        <w:rPr>
          <w:rFonts w:hint="eastAsia" w:cs="仿宋_GB2312"/>
          <w:color w:val="000000" w:themeColor="text1"/>
          <w:spacing w:val="3"/>
          <w:sz w:val="32"/>
          <w:szCs w:val="32"/>
          <w:highlight w:val="none"/>
          <w:u w:val="none"/>
          <w:lang w:val="en-US" w:eastAsia="zh-CN" w:bidi="zh-CN"/>
        </w:rPr>
        <w:t>；85%的</w:t>
      </w:r>
      <w:r>
        <w:rPr>
          <w:rFonts w:hint="eastAsia" w:cs="仿宋_GB2312"/>
          <w:color w:val="000000" w:themeColor="text1"/>
          <w:spacing w:val="3"/>
          <w:sz w:val="32"/>
          <w:szCs w:val="32"/>
          <w:highlight w:val="none"/>
          <w:u w:val="none"/>
          <w:lang w:val="zh-CN" w:eastAsia="zh-CN" w:bidi="zh-CN"/>
        </w:rPr>
        <w:t>社区卫生服务站、村卫生室提供</w:t>
      </w:r>
      <w:r>
        <w:rPr>
          <w:rFonts w:hint="eastAsia" w:cs="仿宋_GB2312"/>
          <w:color w:val="000000" w:themeColor="text1"/>
          <w:spacing w:val="3"/>
          <w:sz w:val="32"/>
          <w:szCs w:val="32"/>
          <w:highlight w:val="none"/>
          <w:u w:val="none"/>
          <w:lang w:val="en-US" w:eastAsia="zh-CN" w:bidi="zh-CN"/>
        </w:rPr>
        <w:t>4类</w:t>
      </w:r>
      <w:r>
        <w:rPr>
          <w:rFonts w:hint="eastAsia" w:ascii="仿宋_GB2312" w:hAnsi="仿宋_GB2312" w:eastAsia="仿宋_GB2312" w:cs="仿宋_GB2312"/>
          <w:color w:val="000000" w:themeColor="text1"/>
          <w:spacing w:val="3"/>
          <w:sz w:val="32"/>
          <w:szCs w:val="32"/>
          <w:highlight w:val="none"/>
          <w:u w:val="none"/>
          <w:lang w:val="zh-CN" w:eastAsia="zh-CN" w:bidi="zh-CN"/>
        </w:rPr>
        <w:t>中医适宜技术服务</w:t>
      </w:r>
      <w:r>
        <w:rPr>
          <w:rFonts w:hint="eastAsia" w:cs="仿宋_GB2312"/>
          <w:color w:val="000000" w:themeColor="text1"/>
          <w:spacing w:val="3"/>
          <w:sz w:val="32"/>
          <w:szCs w:val="32"/>
          <w:highlight w:val="none"/>
          <w:u w:val="none"/>
          <w:lang w:val="zh-CN" w:eastAsia="zh-CN" w:bidi="zh-CN"/>
        </w:rPr>
        <w:t>。</w:t>
      </w:r>
      <w:r>
        <w:rPr>
          <w:rFonts w:hint="eastAsia"/>
          <w:color w:val="000000" w:themeColor="text1"/>
          <w:highlight w:val="none"/>
          <w:u w:val="none"/>
          <w:lang w:val="zh-CN" w:eastAsia="zh-CN"/>
        </w:rPr>
        <w:t>对达到全国基层中医药工作先进县（中医馆服务内涵建设标准）要求的乡镇卫生院（街道社区卫生服务中心），</w:t>
      </w:r>
      <w:r>
        <w:rPr>
          <w:rFonts w:hint="eastAsia"/>
          <w:color w:val="000000" w:themeColor="text1"/>
          <w:highlight w:val="none"/>
          <w:u w:val="none"/>
          <w:lang w:eastAsia="zh-CN"/>
        </w:rPr>
        <w:t>县财政分别</w:t>
      </w:r>
      <w:r>
        <w:rPr>
          <w:color w:val="000000" w:themeColor="text1"/>
          <w:highlight w:val="none"/>
          <w:u w:val="none"/>
        </w:rPr>
        <w:t>给予</w:t>
      </w:r>
      <w:r>
        <w:rPr>
          <w:rFonts w:hint="eastAsia"/>
          <w:color w:val="000000" w:themeColor="text1"/>
          <w:highlight w:val="none"/>
          <w:u w:val="none"/>
          <w:lang w:val="en-US" w:eastAsia="zh-CN"/>
        </w:rPr>
        <w:t>每家10万元的</w:t>
      </w:r>
      <w:r>
        <w:rPr>
          <w:rFonts w:hint="eastAsia"/>
          <w:color w:val="000000" w:themeColor="text1"/>
          <w:highlight w:val="none"/>
          <w:u w:val="none"/>
          <w:lang w:val="zh-CN" w:eastAsia="zh-CN"/>
        </w:rPr>
        <w:t>奖励。</w:t>
      </w:r>
      <w:r>
        <w:rPr>
          <w:rFonts w:hint="eastAsia" w:ascii="仿宋_GB2312" w:hAnsi="仿宋_GB2312" w:eastAsia="仿宋_GB2312" w:cs="仿宋_GB2312"/>
          <w:color w:val="000000" w:themeColor="text1"/>
          <w:spacing w:val="3"/>
          <w:sz w:val="32"/>
          <w:szCs w:val="32"/>
          <w:highlight w:val="none"/>
          <w:u w:val="none"/>
          <w:lang w:val="en-US" w:eastAsia="zh-CN" w:bidi="zh-CN"/>
        </w:rPr>
        <w:t>（责任单位：</w:t>
      </w:r>
      <w:r>
        <w:rPr>
          <w:rFonts w:hint="eastAsia" w:ascii="仿宋_GB2312" w:hAnsi="仿宋_GB2312" w:eastAsia="仿宋_GB2312" w:cs="仿宋_GB2312"/>
          <w:color w:val="000000" w:themeColor="text1"/>
          <w:spacing w:val="3"/>
          <w:sz w:val="32"/>
          <w:szCs w:val="32"/>
          <w:highlight w:val="none"/>
          <w:u w:val="none"/>
          <w:lang w:val="zh-CN" w:eastAsia="zh-CN" w:bidi="zh-CN"/>
        </w:rPr>
        <w:t>县卫生健康局、县财政局</w:t>
      </w:r>
      <w:r>
        <w:rPr>
          <w:rFonts w:hint="eastAsia" w:ascii="仿宋_GB2312" w:hAnsi="仿宋_GB2312" w:eastAsia="仿宋_GB2312" w:cs="仿宋_GB2312"/>
          <w:color w:val="000000" w:themeColor="text1"/>
          <w:spacing w:val="3"/>
          <w:sz w:val="32"/>
          <w:szCs w:val="32"/>
          <w:highlight w:val="none"/>
          <w:u w:val="none"/>
          <w:lang w:val="en-US" w:eastAsia="zh-CN" w:bidi="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243" w:firstLine="652" w:firstLineChars="200"/>
        <w:jc w:val="both"/>
        <w:textAlignment w:val="auto"/>
        <w:rPr>
          <w:rFonts w:hint="eastAsia" w:ascii="仿宋_GB2312" w:hAnsi="仿宋_GB2312" w:eastAsia="仿宋_GB2312" w:cs="仿宋_GB2312"/>
          <w:color w:val="000000" w:themeColor="text1"/>
          <w:spacing w:val="3"/>
          <w:sz w:val="32"/>
          <w:szCs w:val="32"/>
          <w:highlight w:val="none"/>
          <w:u w:val="none"/>
          <w:lang w:val="zh-CN" w:eastAsia="zh-CN" w:bidi="zh-CN"/>
        </w:rPr>
      </w:pPr>
      <w:r>
        <w:rPr>
          <w:rFonts w:hint="eastAsia" w:cs="仿宋_GB2312"/>
          <w:color w:val="auto"/>
          <w:spacing w:val="3"/>
          <w:sz w:val="32"/>
          <w:szCs w:val="32"/>
          <w:highlight w:val="none"/>
          <w:lang w:val="en-US" w:eastAsia="zh-CN" w:bidi="zh-CN"/>
        </w:rPr>
        <w:t>3.</w:t>
      </w:r>
      <w:r>
        <w:rPr>
          <w:rFonts w:hint="eastAsia" w:ascii="仿宋_GB2312" w:hAnsi="仿宋_GB2312" w:eastAsia="仿宋_GB2312" w:cs="仿宋_GB2312"/>
          <w:color w:val="auto"/>
          <w:spacing w:val="3"/>
          <w:sz w:val="32"/>
          <w:szCs w:val="32"/>
          <w:highlight w:val="none"/>
          <w:lang w:val="zh-CN" w:eastAsia="zh-CN" w:bidi="zh-CN"/>
        </w:rPr>
        <w:t>推动一老一小健康服务。</w:t>
      </w:r>
      <w:r>
        <w:rPr>
          <w:rFonts w:hint="eastAsia" w:ascii="仿宋_GB2312" w:hAnsi="仿宋_GB2312" w:eastAsia="仿宋_GB2312" w:cs="仿宋_GB2312"/>
          <w:color w:val="auto"/>
          <w:spacing w:val="3"/>
          <w:sz w:val="32"/>
          <w:szCs w:val="32"/>
          <w:highlight w:val="none"/>
          <w:u w:val="none"/>
          <w:lang w:val="zh-CN" w:eastAsia="zh-CN" w:bidi="zh-CN"/>
        </w:rPr>
        <w:t>推进积极应对人口老龄化国家战略和高质量发展建设共同富裕示范区，着力打造“浙里康养”</w:t>
      </w:r>
      <w:r>
        <w:rPr>
          <w:rFonts w:hint="eastAsia" w:cs="仿宋_GB2312"/>
          <w:color w:val="auto"/>
          <w:spacing w:val="3"/>
          <w:sz w:val="32"/>
          <w:szCs w:val="32"/>
          <w:highlight w:val="none"/>
          <w:u w:val="none"/>
          <w:lang w:val="zh-CN" w:eastAsia="zh-CN" w:bidi="zh-CN"/>
        </w:rPr>
        <w:t>新昌“一老一小”</w:t>
      </w:r>
      <w:r>
        <w:rPr>
          <w:rFonts w:hint="eastAsia" w:ascii="仿宋_GB2312" w:hAnsi="仿宋_GB2312" w:eastAsia="仿宋_GB2312" w:cs="仿宋_GB2312"/>
          <w:color w:val="auto"/>
          <w:spacing w:val="3"/>
          <w:sz w:val="32"/>
          <w:szCs w:val="32"/>
          <w:highlight w:val="none"/>
          <w:u w:val="none"/>
          <w:lang w:val="zh-CN" w:eastAsia="zh-CN" w:bidi="zh-CN"/>
        </w:rPr>
        <w:t>金名片</w:t>
      </w:r>
      <w:r>
        <w:rPr>
          <w:rFonts w:hint="eastAsia" w:cs="仿宋_GB2312"/>
          <w:color w:val="auto"/>
          <w:spacing w:val="3"/>
          <w:sz w:val="32"/>
          <w:szCs w:val="32"/>
          <w:highlight w:val="none"/>
          <w:u w:val="none"/>
          <w:lang w:val="zh-CN" w:eastAsia="zh-CN" w:bidi="zh-CN"/>
        </w:rPr>
        <w:t>。</w:t>
      </w:r>
      <w:r>
        <w:rPr>
          <w:rFonts w:hint="eastAsia" w:ascii="仿宋_GB2312" w:hAnsi="仿宋_GB2312" w:eastAsia="仿宋_GB2312" w:cs="仿宋_GB2312"/>
          <w:color w:val="auto"/>
          <w:spacing w:val="3"/>
          <w:sz w:val="32"/>
          <w:szCs w:val="32"/>
          <w:highlight w:val="none"/>
          <w:u w:val="none"/>
          <w:lang w:val="zh-CN" w:eastAsia="zh-CN" w:bidi="zh-CN"/>
        </w:rPr>
        <w:t>统筹推进老年健康促进行动，切实提高老年人健康水平</w:t>
      </w:r>
      <w:r>
        <w:rPr>
          <w:rFonts w:hint="eastAsia" w:cs="仿宋_GB2312"/>
          <w:color w:val="auto"/>
          <w:spacing w:val="3"/>
          <w:sz w:val="32"/>
          <w:szCs w:val="32"/>
          <w:highlight w:val="none"/>
          <w:u w:val="none"/>
          <w:lang w:val="zh-CN" w:eastAsia="zh-CN" w:bidi="zh-CN"/>
        </w:rPr>
        <w:t>。</w:t>
      </w:r>
      <w:r>
        <w:rPr>
          <w:rFonts w:hint="eastAsia" w:ascii="仿宋_GB2312" w:hAnsi="仿宋_GB2312" w:eastAsia="仿宋_GB2312" w:cs="仿宋_GB2312"/>
          <w:color w:val="auto"/>
          <w:spacing w:val="3"/>
          <w:sz w:val="32"/>
          <w:szCs w:val="32"/>
          <w:highlight w:val="none"/>
          <w:lang w:val="zh-CN" w:eastAsia="zh-CN" w:bidi="zh-CN"/>
        </w:rPr>
        <w:t>加快发展康复护理、长期照护、安宁疗护，建立综合连续、覆盖城乡的老年健康服务体系，老年人健康管理率达到75%以上。强化老年医学和医养结合服务人才培养，加强医养结合机构和设施建设，提升社区居家医养结合服务能力。整合孕前保健、孕期保健、住院分娩、儿童保健、生育服务等内容，提供系统、规范的优生优育全程服务，基层医疗卫生机构开展“医、防、护”三位一体的儿童健康服务中心建设，创建示范儿童健康服务中心1家</w:t>
      </w:r>
      <w:r>
        <w:rPr>
          <w:rFonts w:hint="eastAsia" w:cs="仿宋_GB2312"/>
          <w:color w:val="auto"/>
          <w:spacing w:val="3"/>
          <w:sz w:val="32"/>
          <w:szCs w:val="32"/>
          <w:highlight w:val="none"/>
          <w:lang w:val="zh-CN" w:eastAsia="zh-CN" w:bidi="zh-CN"/>
        </w:rPr>
        <w:t>，</w:t>
      </w:r>
      <w:r>
        <w:rPr>
          <w:rFonts w:hint="eastAsia" w:ascii="仿宋_GB2312" w:hAnsi="仿宋_GB2312" w:eastAsia="仿宋_GB2312" w:cs="仿宋_GB2312"/>
          <w:color w:val="auto"/>
          <w:spacing w:val="3"/>
          <w:sz w:val="32"/>
          <w:szCs w:val="32"/>
          <w:highlight w:val="none"/>
          <w:lang w:val="zh-CN" w:eastAsia="zh-CN" w:bidi="zh-CN"/>
        </w:rPr>
        <w:t>乡镇（街道）婴幼儿照护服务机构基本全覆盖，所有母婴室达到省级地方标准。积极申报省级普惠托育基本公共服务先行试点，给予普惠性托育服务一定的政策保障</w:t>
      </w:r>
      <w:r>
        <w:rPr>
          <w:rFonts w:hint="eastAsia" w:cs="仿宋_GB2312"/>
          <w:color w:val="auto"/>
          <w:spacing w:val="3"/>
          <w:sz w:val="32"/>
          <w:szCs w:val="32"/>
          <w:highlight w:val="none"/>
          <w:lang w:val="zh-CN" w:eastAsia="zh-CN" w:bidi="zh-CN"/>
        </w:rPr>
        <w:t>。</w:t>
      </w:r>
      <w:r>
        <w:rPr>
          <w:rFonts w:hint="eastAsia" w:ascii="仿宋_GB2312" w:hAnsi="仿宋_GB2312" w:eastAsia="仿宋_GB2312" w:cs="仿宋_GB2312"/>
          <w:color w:val="auto"/>
          <w:spacing w:val="3"/>
          <w:sz w:val="32"/>
          <w:szCs w:val="32"/>
          <w:highlight w:val="none"/>
          <w:lang w:val="zh-CN" w:eastAsia="zh-CN" w:bidi="zh-CN"/>
        </w:rPr>
        <w:t>创新公卫服务供给模式，为婴幼儿提供医疗、保健、预防接种、养育风险筛查、家访等服务，探索纳入基本公共卫生当量予以足额购买。</w:t>
      </w:r>
      <w:r>
        <w:rPr>
          <w:rFonts w:hint="eastAsia" w:ascii="仿宋_GB2312" w:hAnsi="仿宋_GB2312" w:eastAsia="仿宋_GB2312" w:cs="仿宋_GB2312"/>
          <w:color w:val="000000" w:themeColor="text1"/>
          <w:spacing w:val="3"/>
          <w:sz w:val="32"/>
          <w:szCs w:val="32"/>
          <w:highlight w:val="none"/>
          <w:u w:val="none"/>
          <w:lang w:val="zh-CN" w:eastAsia="zh-CN" w:bidi="zh-CN"/>
        </w:rPr>
        <w:t>（责任单位：县卫生健康局、县民政局、</w:t>
      </w:r>
      <w:r>
        <w:rPr>
          <w:rFonts w:hint="eastAsia"/>
          <w:color w:val="000000" w:themeColor="text1"/>
          <w:highlight w:val="none"/>
          <w:u w:val="none"/>
          <w:lang w:eastAsia="zh-CN"/>
        </w:rPr>
        <w:t>县</w:t>
      </w:r>
      <w:r>
        <w:rPr>
          <w:color w:val="000000" w:themeColor="text1"/>
          <w:highlight w:val="none"/>
          <w:u w:val="none"/>
        </w:rPr>
        <w:t>医疗保障局</w:t>
      </w:r>
      <w:r>
        <w:rPr>
          <w:rFonts w:hint="eastAsia" w:ascii="仿宋_GB2312" w:hAnsi="仿宋_GB2312" w:eastAsia="仿宋_GB2312" w:cs="仿宋_GB2312"/>
          <w:color w:val="000000" w:themeColor="text1"/>
          <w:spacing w:val="3"/>
          <w:sz w:val="32"/>
          <w:szCs w:val="32"/>
          <w:highlight w:val="none"/>
          <w:u w:val="none"/>
          <w:lang w:val="zh-CN" w:eastAsia="zh-CN" w:bidi="zh-CN"/>
        </w:rPr>
        <w:t>、县大数据中心、各乡镇街道）</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243" w:firstLine="560" w:firstLineChars="200"/>
        <w:jc w:val="both"/>
        <w:textAlignment w:val="auto"/>
        <w:rPr>
          <w:rFonts w:hint="eastAsia" w:ascii="楷体" w:hAnsi="楷体" w:eastAsia="楷体" w:cs="楷体"/>
          <w:color w:val="auto"/>
          <w:spacing w:val="-20"/>
          <w:sz w:val="32"/>
          <w:highlight w:val="none"/>
        </w:rPr>
      </w:pPr>
      <w:r>
        <w:rPr>
          <w:rFonts w:hint="eastAsia" w:ascii="楷体" w:hAnsi="楷体" w:eastAsia="楷体" w:cs="楷体"/>
          <w:color w:val="auto"/>
          <w:spacing w:val="-20"/>
          <w:sz w:val="32"/>
          <w:highlight w:val="none"/>
          <w:lang w:eastAsia="zh-CN"/>
        </w:rPr>
        <w:t>（三）围绕“重保障”，加强基层卫生</w:t>
      </w:r>
      <w:r>
        <w:rPr>
          <w:rFonts w:hint="eastAsia" w:ascii="楷体" w:hAnsi="楷体" w:eastAsia="楷体" w:cs="楷体"/>
          <w:color w:val="auto"/>
          <w:spacing w:val="-20"/>
          <w:sz w:val="32"/>
          <w:highlight w:val="none"/>
        </w:rPr>
        <w:t>人才队伍建设</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243" w:firstLine="652" w:firstLineChars="200"/>
        <w:jc w:val="both"/>
        <w:textAlignment w:val="auto"/>
        <w:rPr>
          <w:rFonts w:ascii="仿宋_GB2312" w:hAnsi="仿宋_GB2312" w:eastAsia="仿宋_GB2312" w:cs="仿宋_GB2312"/>
          <w:color w:val="auto"/>
          <w:spacing w:val="3"/>
          <w:sz w:val="32"/>
          <w:szCs w:val="32"/>
          <w:highlight w:val="none"/>
          <w:lang w:val="zh-CN" w:eastAsia="zh-CN" w:bidi="zh-CN"/>
        </w:rPr>
      </w:pPr>
      <w:r>
        <w:rPr>
          <w:rFonts w:hint="eastAsia" w:ascii="仿宋_GB2312" w:hAnsi="仿宋_GB2312" w:eastAsia="仿宋_GB2312" w:cs="仿宋_GB2312"/>
          <w:color w:val="auto"/>
          <w:spacing w:val="3"/>
          <w:sz w:val="32"/>
          <w:szCs w:val="32"/>
          <w:highlight w:val="none"/>
          <w:lang w:val="en-US" w:eastAsia="zh-CN" w:bidi="zh-CN"/>
        </w:rPr>
        <w:t>1.优化编制配置和人员招聘政策</w:t>
      </w:r>
      <w:r>
        <w:rPr>
          <w:rFonts w:hint="eastAsia" w:ascii="仿宋_GB2312" w:hAnsi="仿宋_GB2312" w:eastAsia="仿宋_GB2312" w:cs="仿宋_GB2312"/>
          <w:color w:val="auto"/>
          <w:spacing w:val="3"/>
          <w:sz w:val="32"/>
          <w:szCs w:val="32"/>
          <w:highlight w:val="none"/>
          <w:u w:val="none"/>
          <w:lang w:val="en-US" w:eastAsia="zh-CN" w:bidi="zh-CN"/>
        </w:rPr>
        <w:t>。按照中央、省有关基层医疗卫生机构编制配置标准，结合服务人口变化情况</w:t>
      </w:r>
      <w:r>
        <w:rPr>
          <w:rFonts w:hint="eastAsia" w:cs="仿宋_GB2312"/>
          <w:color w:val="auto"/>
          <w:spacing w:val="3"/>
          <w:sz w:val="32"/>
          <w:szCs w:val="32"/>
          <w:highlight w:val="none"/>
          <w:u w:val="none"/>
          <w:lang w:val="en-US" w:eastAsia="zh-CN" w:bidi="zh-CN"/>
        </w:rPr>
        <w:t>，</w:t>
      </w:r>
      <w:r>
        <w:rPr>
          <w:rFonts w:hint="eastAsia" w:ascii="仿宋_GB2312" w:hAnsi="仿宋_GB2312" w:eastAsia="仿宋_GB2312" w:cs="仿宋_GB2312"/>
          <w:color w:val="auto"/>
          <w:spacing w:val="3"/>
          <w:sz w:val="32"/>
          <w:szCs w:val="32"/>
          <w:highlight w:val="none"/>
          <w:u w:val="none"/>
          <w:lang w:val="en-US" w:eastAsia="zh-CN" w:bidi="zh-CN"/>
        </w:rPr>
        <w:t>动态调整基层医疗卫生机构人员编制</w:t>
      </w:r>
      <w:r>
        <w:rPr>
          <w:rFonts w:hint="eastAsia" w:cs="仿宋_GB2312"/>
          <w:color w:val="auto"/>
          <w:spacing w:val="3"/>
          <w:sz w:val="32"/>
          <w:szCs w:val="32"/>
          <w:highlight w:val="none"/>
          <w:u w:val="none"/>
          <w:lang w:val="en-US" w:eastAsia="zh-CN" w:bidi="zh-CN"/>
        </w:rPr>
        <w:t>，</w:t>
      </w:r>
      <w:r>
        <w:rPr>
          <w:rFonts w:hint="eastAsia" w:ascii="仿宋_GB2312" w:hAnsi="仿宋_GB2312" w:eastAsia="仿宋_GB2312" w:cs="仿宋_GB2312"/>
          <w:color w:val="auto"/>
          <w:spacing w:val="3"/>
          <w:sz w:val="32"/>
          <w:szCs w:val="32"/>
          <w:highlight w:val="none"/>
          <w:u w:val="none"/>
          <w:lang w:val="zh-CN" w:eastAsia="zh-CN" w:bidi="zh-CN"/>
        </w:rPr>
        <w:t>并统筹使用。加强基层医疗卫生机构编制保障，对</w:t>
      </w:r>
      <w:r>
        <w:rPr>
          <w:rFonts w:hint="eastAsia" w:cs="仿宋_GB2312"/>
          <w:color w:val="auto"/>
          <w:spacing w:val="3"/>
          <w:sz w:val="32"/>
          <w:szCs w:val="32"/>
          <w:highlight w:val="none"/>
          <w:u w:val="none"/>
          <w:lang w:val="zh-CN" w:eastAsia="zh-CN" w:bidi="zh-CN"/>
        </w:rPr>
        <w:t>公共卫生工作</w:t>
      </w:r>
      <w:r>
        <w:rPr>
          <w:rFonts w:hint="eastAsia" w:ascii="仿宋_GB2312" w:hAnsi="仿宋_GB2312" w:eastAsia="仿宋_GB2312" w:cs="仿宋_GB2312"/>
          <w:color w:val="auto"/>
          <w:spacing w:val="3"/>
          <w:sz w:val="32"/>
          <w:szCs w:val="32"/>
          <w:highlight w:val="none"/>
          <w:u w:val="none"/>
          <w:lang w:val="zh-CN" w:eastAsia="zh-CN" w:bidi="zh-CN"/>
        </w:rPr>
        <w:t>任务较重或地广人稀、交通不便的边远乡镇，编制配备可适当增加。优化基层医疗卫生</w:t>
      </w:r>
      <w:r>
        <w:rPr>
          <w:rFonts w:hint="eastAsia" w:ascii="仿宋_GB2312" w:hAnsi="仿宋_GB2312" w:eastAsia="仿宋_GB2312" w:cs="仿宋_GB2312"/>
          <w:color w:val="auto"/>
          <w:spacing w:val="3"/>
          <w:sz w:val="32"/>
          <w:szCs w:val="32"/>
          <w:highlight w:val="none"/>
          <w:lang w:val="zh-CN" w:eastAsia="zh-CN" w:bidi="zh-CN"/>
        </w:rPr>
        <w:t>机构人员招聘方式，对条件艰苦</w:t>
      </w:r>
      <w:r>
        <w:rPr>
          <w:rFonts w:ascii="仿宋_GB2312" w:hAnsi="仿宋_GB2312" w:eastAsia="仿宋_GB2312" w:cs="仿宋_GB2312"/>
          <w:color w:val="auto"/>
          <w:spacing w:val="3"/>
          <w:sz w:val="32"/>
          <w:szCs w:val="32"/>
          <w:highlight w:val="none"/>
          <w:lang w:val="zh-CN" w:eastAsia="zh-CN" w:bidi="zh-CN"/>
        </w:rPr>
        <w:t>或</w:t>
      </w:r>
      <w:r>
        <w:rPr>
          <w:rFonts w:ascii="仿宋_GB2312" w:hAnsi="仿宋_GB2312" w:eastAsia="仿宋_GB2312" w:cs="仿宋_GB2312"/>
          <w:color w:val="auto"/>
          <w:spacing w:val="-3"/>
          <w:w w:val="95"/>
          <w:sz w:val="32"/>
          <w:szCs w:val="32"/>
          <w:highlight w:val="none"/>
          <w:lang w:val="zh-CN" w:eastAsia="zh-CN" w:bidi="zh-CN"/>
        </w:rPr>
        <w:t>面向中高级专业技术人员的</w:t>
      </w:r>
      <w:r>
        <w:rPr>
          <w:rFonts w:ascii="仿宋_GB2312" w:hAnsi="仿宋_GB2312" w:eastAsia="仿宋_GB2312" w:cs="仿宋_GB2312"/>
          <w:color w:val="auto"/>
          <w:sz w:val="32"/>
          <w:szCs w:val="32"/>
          <w:highlight w:val="none"/>
          <w:lang w:val="zh-CN" w:eastAsia="zh-CN" w:bidi="zh-CN"/>
        </w:rPr>
        <w:t>基层医疗卫生机构招聘</w:t>
      </w:r>
      <w:r>
        <w:rPr>
          <w:rFonts w:hint="eastAsia" w:ascii="仿宋_GB2312" w:hAnsi="仿宋_GB2312" w:eastAsia="仿宋_GB2312" w:cs="仿宋_GB2312"/>
          <w:color w:val="auto"/>
          <w:sz w:val="32"/>
          <w:szCs w:val="32"/>
          <w:highlight w:val="none"/>
          <w:lang w:val="zh-CN" w:eastAsia="zh-CN" w:bidi="zh-CN"/>
        </w:rPr>
        <w:t>，</w:t>
      </w:r>
      <w:r>
        <w:rPr>
          <w:rFonts w:ascii="仿宋_GB2312" w:hAnsi="仿宋_GB2312" w:eastAsia="仿宋_GB2312" w:cs="仿宋_GB2312"/>
          <w:color w:val="auto"/>
          <w:sz w:val="32"/>
          <w:szCs w:val="32"/>
          <w:highlight w:val="none"/>
          <w:lang w:val="zh-CN" w:eastAsia="zh-CN" w:bidi="zh-CN"/>
        </w:rPr>
        <w:t>可根据实际需要和人员资质，适当放宽学历</w:t>
      </w:r>
      <w:r>
        <w:rPr>
          <w:rFonts w:ascii="仿宋_GB2312" w:hAnsi="仿宋_GB2312" w:eastAsia="仿宋_GB2312" w:cs="仿宋_GB2312"/>
          <w:color w:val="auto"/>
          <w:spacing w:val="3"/>
          <w:sz w:val="32"/>
          <w:szCs w:val="32"/>
          <w:highlight w:val="none"/>
          <w:lang w:val="zh-CN" w:eastAsia="zh-CN" w:bidi="zh-CN"/>
        </w:rPr>
        <w:t>、年龄等招聘条件，采取适当降低开考比例，通过采取笔试、面试或直接考核等方式公开招聘。基层医疗卫生机构对经住院医师规范化培训合格的本科学历全科医生，在人员招聘、职称晋升、岗位聘用等方面，与临床医学、中医</w:t>
      </w:r>
      <w:r>
        <w:rPr>
          <w:rFonts w:ascii="仿宋_GB2312" w:hAnsi="仿宋_GB2312" w:eastAsia="仿宋_GB2312" w:cs="仿宋_GB2312"/>
          <w:color w:val="auto"/>
          <w:spacing w:val="3"/>
          <w:sz w:val="32"/>
          <w:szCs w:val="32"/>
          <w:highlight w:val="none"/>
          <w:u w:val="none"/>
          <w:lang w:val="zh-CN" w:eastAsia="zh-CN" w:bidi="zh-CN"/>
        </w:rPr>
        <w:t>硕士</w:t>
      </w:r>
      <w:r>
        <w:rPr>
          <w:rFonts w:ascii="仿宋_GB2312" w:hAnsi="仿宋_GB2312" w:eastAsia="仿宋_GB2312" w:cs="仿宋_GB2312"/>
          <w:color w:val="auto"/>
          <w:spacing w:val="3"/>
          <w:sz w:val="32"/>
          <w:szCs w:val="32"/>
          <w:highlight w:val="none"/>
          <w:lang w:val="zh-CN" w:eastAsia="zh-CN" w:bidi="zh-CN"/>
        </w:rPr>
        <w:t>专业学位研究生同等对待，落实工资等相关待遇。深入实施全科医生特岗计划、农村订单定向医学生免费培养和助理全科医生培训，支持城市二级及以上医院在职或退休医师到乡村基层医疗卫生机构多点执业，开办乡村诊所，充实乡村卫生健康人才队伍。</w:t>
      </w:r>
      <w:r>
        <w:rPr>
          <w:rFonts w:hint="eastAsia" w:ascii="仿宋_GB2312" w:hAnsi="仿宋_GB2312" w:eastAsia="仿宋_GB2312" w:cs="仿宋_GB2312"/>
          <w:color w:val="auto"/>
          <w:spacing w:val="3"/>
          <w:sz w:val="32"/>
          <w:szCs w:val="32"/>
          <w:highlight w:val="none"/>
          <w:u w:val="none"/>
          <w:lang w:val="zh-CN" w:eastAsia="zh-CN" w:bidi="zh-CN"/>
        </w:rPr>
        <w:t>建立健全乡村医生（基层）卫生队伍有机更新机制，通过全科执业医师下沉、社会招聘、定向培养等方式推动村卫生室（社区</w:t>
      </w:r>
      <w:r>
        <w:rPr>
          <w:rFonts w:hint="eastAsia" w:cs="仿宋_GB2312"/>
          <w:color w:val="auto"/>
          <w:spacing w:val="3"/>
          <w:sz w:val="32"/>
          <w:szCs w:val="32"/>
          <w:highlight w:val="none"/>
          <w:u w:val="none"/>
          <w:lang w:val="zh-CN" w:eastAsia="zh-CN" w:bidi="zh-CN"/>
        </w:rPr>
        <w:t>卫生</w:t>
      </w:r>
      <w:r>
        <w:rPr>
          <w:rFonts w:hint="eastAsia" w:ascii="仿宋_GB2312" w:hAnsi="仿宋_GB2312" w:eastAsia="仿宋_GB2312" w:cs="仿宋_GB2312"/>
          <w:color w:val="auto"/>
          <w:spacing w:val="3"/>
          <w:sz w:val="32"/>
          <w:szCs w:val="32"/>
          <w:highlight w:val="none"/>
          <w:u w:val="none"/>
          <w:lang w:val="zh-CN" w:eastAsia="zh-CN" w:bidi="zh-CN"/>
        </w:rPr>
        <w:t>服务站）服务人员更新补缺，按每个村卫生室至少一名乡村医生的标准配置。</w:t>
      </w:r>
      <w:r>
        <w:rPr>
          <w:rFonts w:hint="eastAsia" w:cs="仿宋_GB2312"/>
          <w:color w:val="auto"/>
          <w:spacing w:val="3"/>
          <w:sz w:val="32"/>
          <w:szCs w:val="32"/>
          <w:highlight w:val="none"/>
          <w:u w:val="none"/>
          <w:lang w:val="zh-CN" w:eastAsia="zh-CN" w:bidi="zh-CN"/>
        </w:rPr>
        <w:t>逐步</w:t>
      </w:r>
      <w:r>
        <w:rPr>
          <w:rFonts w:ascii="仿宋_GB2312" w:hAnsi="仿宋_GB2312" w:eastAsia="仿宋_GB2312" w:cs="仿宋_GB2312"/>
          <w:color w:val="auto"/>
          <w:spacing w:val="3"/>
          <w:sz w:val="32"/>
          <w:szCs w:val="32"/>
          <w:highlight w:val="none"/>
          <w:u w:val="none"/>
          <w:lang w:val="zh-CN" w:eastAsia="zh-CN" w:bidi="zh-CN"/>
        </w:rPr>
        <w:t>推行乡村医生“乡聘村用”，</w:t>
      </w:r>
      <w:r>
        <w:rPr>
          <w:rFonts w:hint="eastAsia" w:cs="仿宋_GB2312"/>
          <w:color w:val="auto"/>
          <w:spacing w:val="3"/>
          <w:sz w:val="32"/>
          <w:szCs w:val="32"/>
          <w:highlight w:val="none"/>
          <w:u w:val="none"/>
          <w:lang w:val="zh-CN" w:eastAsia="zh-CN" w:bidi="zh-CN"/>
        </w:rPr>
        <w:t>编制给予适当保障，招聘的乡村医生</w:t>
      </w:r>
      <w:r>
        <w:rPr>
          <w:rFonts w:hint="eastAsia" w:ascii="仿宋_GB2312" w:hAnsi="仿宋_GB2312" w:eastAsia="仿宋_GB2312" w:cs="仿宋_GB2312"/>
          <w:color w:val="auto"/>
          <w:spacing w:val="3"/>
          <w:sz w:val="32"/>
          <w:szCs w:val="32"/>
          <w:highlight w:val="none"/>
          <w:u w:val="none"/>
          <w:lang w:val="zh-CN" w:eastAsia="zh-CN" w:bidi="zh-CN"/>
        </w:rPr>
        <w:t>经费按实际发放标准由县财政保障。县行政区域内派驻村卫生室服务人员不需办理执业机构变更备案手续。</w:t>
      </w:r>
      <w:r>
        <w:rPr>
          <w:rFonts w:ascii="仿宋_GB2312" w:hAnsi="仿宋_GB2312" w:eastAsia="仿宋_GB2312" w:cs="仿宋_GB2312"/>
          <w:color w:val="auto"/>
          <w:spacing w:val="3"/>
          <w:sz w:val="32"/>
          <w:szCs w:val="32"/>
          <w:highlight w:val="none"/>
          <w:u w:val="none"/>
          <w:lang w:val="zh-CN" w:eastAsia="zh-CN" w:bidi="zh-CN"/>
        </w:rPr>
        <w:t>（</w:t>
      </w:r>
      <w:r>
        <w:rPr>
          <w:rFonts w:ascii="仿宋_GB2312" w:hAnsi="仿宋_GB2312" w:eastAsia="仿宋_GB2312" w:cs="仿宋_GB2312"/>
          <w:color w:val="auto"/>
          <w:spacing w:val="3"/>
          <w:sz w:val="32"/>
          <w:szCs w:val="32"/>
          <w:highlight w:val="none"/>
          <w:lang w:val="zh-CN" w:eastAsia="zh-CN" w:bidi="zh-CN"/>
        </w:rPr>
        <w:t>责任单位：</w:t>
      </w:r>
      <w:r>
        <w:rPr>
          <w:rFonts w:hint="eastAsia" w:ascii="仿宋_GB2312" w:hAnsi="仿宋_GB2312" w:eastAsia="仿宋_GB2312" w:cs="仿宋_GB2312"/>
          <w:color w:val="auto"/>
          <w:spacing w:val="3"/>
          <w:sz w:val="32"/>
          <w:szCs w:val="32"/>
          <w:highlight w:val="none"/>
          <w:lang w:val="zh-CN" w:eastAsia="zh-CN" w:bidi="zh-CN"/>
        </w:rPr>
        <w:t>县</w:t>
      </w:r>
      <w:r>
        <w:rPr>
          <w:rFonts w:ascii="仿宋_GB2312" w:hAnsi="仿宋_GB2312" w:eastAsia="仿宋_GB2312" w:cs="仿宋_GB2312"/>
          <w:color w:val="auto"/>
          <w:spacing w:val="3"/>
          <w:sz w:val="32"/>
          <w:szCs w:val="32"/>
          <w:highlight w:val="none"/>
          <w:lang w:val="zh-CN" w:eastAsia="zh-CN" w:bidi="zh-CN"/>
        </w:rPr>
        <w:t>委编办、</w:t>
      </w:r>
      <w:r>
        <w:rPr>
          <w:rFonts w:hint="eastAsia" w:ascii="仿宋_GB2312" w:hAnsi="仿宋_GB2312" w:eastAsia="仿宋_GB2312" w:cs="仿宋_GB2312"/>
          <w:color w:val="auto"/>
          <w:spacing w:val="3"/>
          <w:sz w:val="32"/>
          <w:szCs w:val="32"/>
          <w:highlight w:val="none"/>
          <w:lang w:val="zh-CN" w:eastAsia="zh-CN" w:bidi="zh-CN"/>
        </w:rPr>
        <w:t>县</w:t>
      </w:r>
      <w:r>
        <w:rPr>
          <w:rFonts w:ascii="仿宋_GB2312" w:hAnsi="仿宋_GB2312" w:eastAsia="仿宋_GB2312" w:cs="仿宋_GB2312"/>
          <w:color w:val="auto"/>
          <w:spacing w:val="3"/>
          <w:sz w:val="32"/>
          <w:szCs w:val="32"/>
          <w:highlight w:val="none"/>
          <w:lang w:val="zh-CN" w:eastAsia="zh-CN" w:bidi="zh-CN"/>
        </w:rPr>
        <w:t>财政局、</w:t>
      </w:r>
      <w:r>
        <w:rPr>
          <w:rFonts w:hint="eastAsia" w:ascii="仿宋_GB2312" w:hAnsi="仿宋_GB2312" w:eastAsia="仿宋_GB2312" w:cs="仿宋_GB2312"/>
          <w:color w:val="auto"/>
          <w:sz w:val="32"/>
          <w:szCs w:val="32"/>
          <w:highlight w:val="none"/>
          <w:lang w:val="zh-CN" w:eastAsia="zh-CN" w:bidi="zh-CN"/>
        </w:rPr>
        <w:t>县</w:t>
      </w:r>
      <w:r>
        <w:rPr>
          <w:rFonts w:ascii="仿宋_GB2312" w:hAnsi="仿宋_GB2312" w:eastAsia="仿宋_GB2312" w:cs="仿宋_GB2312"/>
          <w:color w:val="auto"/>
          <w:sz w:val="32"/>
          <w:szCs w:val="32"/>
          <w:highlight w:val="none"/>
          <w:lang w:val="zh-CN" w:eastAsia="zh-CN" w:bidi="zh-CN"/>
        </w:rPr>
        <w:t>人力社保局、</w:t>
      </w:r>
      <w:r>
        <w:rPr>
          <w:rFonts w:hint="eastAsia" w:ascii="仿宋_GB2312" w:hAnsi="仿宋_GB2312" w:eastAsia="仿宋_GB2312" w:cs="仿宋_GB2312"/>
          <w:color w:val="auto"/>
          <w:sz w:val="32"/>
          <w:szCs w:val="32"/>
          <w:highlight w:val="none"/>
          <w:lang w:val="zh-CN" w:eastAsia="zh-CN" w:bidi="zh-CN"/>
        </w:rPr>
        <w:t>县卫生健康局</w:t>
      </w:r>
      <w:r>
        <w:rPr>
          <w:rFonts w:ascii="仿宋_GB2312" w:hAnsi="仿宋_GB2312" w:eastAsia="仿宋_GB2312" w:cs="仿宋_GB2312"/>
          <w:color w:val="auto"/>
          <w:sz w:val="32"/>
          <w:szCs w:val="32"/>
          <w:highlight w:val="none"/>
          <w:lang w:val="zh-CN" w:eastAsia="zh-CN" w:bidi="zh-CN"/>
        </w:rPr>
        <w:t>）</w:t>
      </w:r>
      <w:r>
        <w:rPr>
          <w:rFonts w:hint="eastAsia" w:cs="仿宋_GB2312"/>
          <w:color w:val="auto"/>
          <w:sz w:val="32"/>
          <w:szCs w:val="32"/>
          <w:highlight w:val="none"/>
          <w:lang w:val="zh-CN" w:eastAsia="zh-CN" w:bidi="zh-CN"/>
        </w:rPr>
        <w:t>。</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ascii="仿宋_GB2312" w:hAnsi="仿宋_GB2312" w:eastAsia="仿宋_GB2312" w:cs="仿宋_GB2312"/>
          <w:color w:val="auto"/>
          <w:spacing w:val="3"/>
          <w:sz w:val="32"/>
          <w:szCs w:val="32"/>
          <w:highlight w:val="none"/>
          <w:lang w:val="zh-CN" w:eastAsia="zh-CN" w:bidi="zh-CN"/>
        </w:rPr>
      </w:pPr>
      <w:r>
        <w:rPr>
          <w:rFonts w:hint="eastAsia" w:cs="仿宋_GB2312"/>
          <w:color w:val="auto"/>
          <w:spacing w:val="3"/>
          <w:sz w:val="32"/>
          <w:szCs w:val="32"/>
          <w:highlight w:val="none"/>
          <w:lang w:val="en-US" w:eastAsia="zh-CN" w:bidi="zh-CN"/>
        </w:rPr>
        <w:t>2</w:t>
      </w:r>
      <w:r>
        <w:rPr>
          <w:rFonts w:hint="eastAsia" w:ascii="仿宋_GB2312" w:hAnsi="仿宋_GB2312" w:eastAsia="仿宋_GB2312" w:cs="仿宋_GB2312"/>
          <w:color w:val="auto"/>
          <w:spacing w:val="3"/>
          <w:sz w:val="32"/>
          <w:szCs w:val="32"/>
          <w:highlight w:val="none"/>
          <w:lang w:val="en-US" w:eastAsia="zh-CN" w:bidi="zh-CN"/>
        </w:rPr>
        <w:t>.</w:t>
      </w:r>
      <w:r>
        <w:rPr>
          <w:rFonts w:ascii="仿宋_GB2312" w:hAnsi="仿宋_GB2312" w:eastAsia="仿宋_GB2312" w:cs="仿宋_GB2312"/>
          <w:color w:val="auto"/>
          <w:spacing w:val="3"/>
          <w:sz w:val="32"/>
          <w:szCs w:val="32"/>
          <w:highlight w:val="none"/>
          <w:lang w:val="zh-CN" w:eastAsia="zh-CN" w:bidi="zh-CN"/>
        </w:rPr>
        <w:t>优化岗位管理和职称晋升政策。本科及以上学历、经全科专业住院医师规范化培训合格并到基层医疗卫生机构工作的，可直接参加全科医学专业中级职称考试，考试通过的直接聘任中级职称；全科专业住院医师规范化培训合格、取得中级职称后在乡镇卫生院连续工作满10年的，可经基层职称评审组考核认定，直接取得副高级职称；在基层医疗卫生机构累计工作25年以上且仍在基层医疗卫生机构工作的在岗执业医师，可以直接申报基层卫生系列高级职称；上述职称晋升政策均在岗位结构比例范围内实施（医共体</w:t>
      </w:r>
      <w:r>
        <w:rPr>
          <w:rFonts w:hint="eastAsia" w:ascii="仿宋_GB2312" w:hAnsi="仿宋_GB2312" w:eastAsia="仿宋_GB2312" w:cs="仿宋_GB2312"/>
          <w:color w:val="auto"/>
          <w:spacing w:val="3"/>
          <w:sz w:val="32"/>
          <w:szCs w:val="32"/>
          <w:highlight w:val="none"/>
          <w:lang w:val="zh-CN" w:eastAsia="zh-CN" w:bidi="zh-CN"/>
        </w:rPr>
        <w:t>成员单位</w:t>
      </w:r>
      <w:r>
        <w:rPr>
          <w:rFonts w:ascii="仿宋_GB2312" w:hAnsi="仿宋_GB2312" w:eastAsia="仿宋_GB2312" w:cs="仿宋_GB2312"/>
          <w:color w:val="auto"/>
          <w:spacing w:val="3"/>
          <w:sz w:val="32"/>
          <w:szCs w:val="32"/>
          <w:highlight w:val="none"/>
          <w:lang w:val="zh-CN" w:eastAsia="zh-CN" w:bidi="zh-CN"/>
        </w:rPr>
        <w:t>的中高级专业技术岗位结构比例可按不高于牵头医院等级对应标准核定）。单独设立基层职称评审组，对基层一线卫生专业技术人员实行“定向评价、定向使用”，取得的职称限定在基层有效。</w:t>
      </w:r>
      <w:r>
        <w:rPr>
          <w:rFonts w:ascii="仿宋_GB2312" w:hAnsi="仿宋_GB2312" w:eastAsia="仿宋_GB2312" w:cs="仿宋_GB2312"/>
          <w:color w:val="auto"/>
          <w:spacing w:val="3"/>
          <w:sz w:val="32"/>
          <w:szCs w:val="32"/>
          <w:highlight w:val="none"/>
          <w:u w:val="none"/>
          <w:lang w:val="zh-CN" w:eastAsia="zh-CN" w:bidi="zh-CN"/>
        </w:rPr>
        <w:t>全日制大中专毕业生在基层医疗卫生机构累计服务满30年的基层卫生技术人员，退休时仍在基层医疗卫生机构工作的，参照工作满30年护士、儿科医生的办法享受一次性退休补贴。（责任单位：</w:t>
      </w:r>
      <w:r>
        <w:rPr>
          <w:rFonts w:hint="eastAsia" w:ascii="仿宋_GB2312" w:hAnsi="仿宋_GB2312" w:eastAsia="仿宋_GB2312" w:cs="仿宋_GB2312"/>
          <w:color w:val="auto"/>
          <w:spacing w:val="3"/>
          <w:sz w:val="32"/>
          <w:szCs w:val="32"/>
          <w:highlight w:val="none"/>
          <w:u w:val="none"/>
          <w:lang w:val="zh-CN" w:eastAsia="zh-CN" w:bidi="zh-CN"/>
        </w:rPr>
        <w:t>县</w:t>
      </w:r>
      <w:r>
        <w:rPr>
          <w:rFonts w:ascii="仿宋_GB2312" w:hAnsi="仿宋_GB2312" w:eastAsia="仿宋_GB2312" w:cs="仿宋_GB2312"/>
          <w:color w:val="auto"/>
          <w:spacing w:val="3"/>
          <w:sz w:val="32"/>
          <w:szCs w:val="32"/>
          <w:highlight w:val="none"/>
          <w:u w:val="none"/>
          <w:lang w:val="zh-CN" w:eastAsia="zh-CN" w:bidi="zh-CN"/>
        </w:rPr>
        <w:t>人力</w:t>
      </w:r>
      <w:r>
        <w:rPr>
          <w:rFonts w:ascii="仿宋_GB2312" w:hAnsi="仿宋_GB2312" w:eastAsia="仿宋_GB2312" w:cs="仿宋_GB2312"/>
          <w:color w:val="auto"/>
          <w:spacing w:val="3"/>
          <w:sz w:val="32"/>
          <w:szCs w:val="32"/>
          <w:highlight w:val="none"/>
          <w:lang w:val="zh-CN" w:eastAsia="zh-CN" w:bidi="zh-CN"/>
        </w:rPr>
        <w:t>社保局、</w:t>
      </w:r>
      <w:r>
        <w:rPr>
          <w:rFonts w:hint="eastAsia" w:ascii="仿宋_GB2312" w:hAnsi="仿宋_GB2312" w:eastAsia="仿宋_GB2312" w:cs="仿宋_GB2312"/>
          <w:color w:val="auto"/>
          <w:spacing w:val="3"/>
          <w:sz w:val="32"/>
          <w:szCs w:val="32"/>
          <w:highlight w:val="none"/>
          <w:lang w:val="zh-CN" w:eastAsia="zh-CN" w:bidi="zh-CN"/>
        </w:rPr>
        <w:t>县</w:t>
      </w:r>
      <w:r>
        <w:rPr>
          <w:rFonts w:ascii="仿宋_GB2312" w:hAnsi="仿宋_GB2312" w:eastAsia="仿宋_GB2312" w:cs="仿宋_GB2312"/>
          <w:color w:val="auto"/>
          <w:spacing w:val="3"/>
          <w:sz w:val="32"/>
          <w:szCs w:val="32"/>
          <w:highlight w:val="none"/>
          <w:lang w:val="zh-CN" w:eastAsia="zh-CN" w:bidi="zh-CN"/>
        </w:rPr>
        <w:t>财政局</w:t>
      </w:r>
      <w:r>
        <w:rPr>
          <w:rFonts w:hint="eastAsia" w:cs="仿宋_GB2312"/>
          <w:color w:val="auto"/>
          <w:spacing w:val="3"/>
          <w:sz w:val="32"/>
          <w:szCs w:val="32"/>
          <w:highlight w:val="none"/>
          <w:lang w:val="zh-CN" w:eastAsia="zh-CN" w:bidi="zh-CN"/>
        </w:rPr>
        <w:t>、</w:t>
      </w:r>
      <w:r>
        <w:rPr>
          <w:rFonts w:hint="eastAsia" w:ascii="仿宋_GB2312" w:hAnsi="仿宋_GB2312" w:eastAsia="仿宋_GB2312" w:cs="仿宋_GB2312"/>
          <w:color w:val="auto"/>
          <w:spacing w:val="3"/>
          <w:sz w:val="32"/>
          <w:szCs w:val="32"/>
          <w:highlight w:val="none"/>
          <w:lang w:val="zh-CN" w:eastAsia="zh-CN" w:bidi="zh-CN"/>
        </w:rPr>
        <w:t>县</w:t>
      </w:r>
      <w:r>
        <w:rPr>
          <w:rFonts w:ascii="仿宋_GB2312" w:hAnsi="仿宋_GB2312" w:eastAsia="仿宋_GB2312" w:cs="仿宋_GB2312"/>
          <w:color w:val="auto"/>
          <w:spacing w:val="3"/>
          <w:sz w:val="32"/>
          <w:szCs w:val="32"/>
          <w:highlight w:val="none"/>
          <w:lang w:val="zh-CN" w:eastAsia="zh-CN" w:bidi="zh-CN"/>
        </w:rPr>
        <w:t>卫生健康</w:t>
      </w:r>
      <w:r>
        <w:rPr>
          <w:rFonts w:hint="eastAsia" w:ascii="仿宋_GB2312" w:hAnsi="仿宋_GB2312" w:eastAsia="仿宋_GB2312" w:cs="仿宋_GB2312"/>
          <w:color w:val="auto"/>
          <w:spacing w:val="3"/>
          <w:sz w:val="32"/>
          <w:szCs w:val="32"/>
          <w:highlight w:val="none"/>
          <w:lang w:val="zh-CN" w:eastAsia="zh-CN" w:bidi="zh-CN"/>
        </w:rPr>
        <w:t>局</w:t>
      </w:r>
      <w:r>
        <w:rPr>
          <w:rFonts w:ascii="仿宋_GB2312" w:hAnsi="仿宋_GB2312" w:eastAsia="仿宋_GB2312" w:cs="仿宋_GB2312"/>
          <w:color w:val="auto"/>
          <w:spacing w:val="3"/>
          <w:sz w:val="32"/>
          <w:szCs w:val="32"/>
          <w:highlight w:val="none"/>
          <w:lang w:val="zh-CN" w:eastAsia="zh-CN" w:bidi="zh-CN"/>
        </w:rPr>
        <w:t>）</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1" w:rightChars="0" w:firstLine="652" w:firstLineChars="200"/>
        <w:jc w:val="both"/>
        <w:textAlignment w:val="auto"/>
        <w:rPr>
          <w:rFonts w:ascii="仿宋_GB2312" w:hAnsi="仿宋_GB2312" w:eastAsia="仿宋_GB2312" w:cs="仿宋_GB2312"/>
          <w:color w:val="auto"/>
          <w:spacing w:val="3"/>
          <w:sz w:val="32"/>
          <w:szCs w:val="32"/>
          <w:highlight w:val="none"/>
          <w:lang w:val="zh-CN" w:eastAsia="zh-CN" w:bidi="zh-CN"/>
        </w:rPr>
      </w:pPr>
      <w:r>
        <w:rPr>
          <w:rFonts w:hint="eastAsia" w:cs="仿宋_GB2312"/>
          <w:color w:val="auto"/>
          <w:spacing w:val="3"/>
          <w:sz w:val="32"/>
          <w:szCs w:val="32"/>
          <w:highlight w:val="none"/>
          <w:lang w:val="en-US" w:eastAsia="zh-CN" w:bidi="zh-CN"/>
        </w:rPr>
        <w:t>3.优化</w:t>
      </w:r>
      <w:r>
        <w:rPr>
          <w:rFonts w:hint="eastAsia" w:ascii="仿宋_GB2312" w:hAnsi="仿宋_GB2312" w:eastAsia="仿宋_GB2312" w:cs="仿宋_GB2312"/>
          <w:color w:val="auto"/>
          <w:spacing w:val="3"/>
          <w:sz w:val="32"/>
          <w:szCs w:val="32"/>
          <w:highlight w:val="none"/>
          <w:lang w:val="en-US" w:eastAsia="zh-CN" w:bidi="zh-CN"/>
        </w:rPr>
        <w:t>人才引进和进修培训政策</w:t>
      </w:r>
      <w:r>
        <w:rPr>
          <w:rFonts w:hint="eastAsia" w:cs="仿宋_GB2312"/>
          <w:color w:val="auto"/>
          <w:spacing w:val="3"/>
          <w:sz w:val="32"/>
          <w:szCs w:val="32"/>
          <w:highlight w:val="none"/>
          <w:lang w:val="en-US" w:eastAsia="zh-CN" w:bidi="zh-CN"/>
        </w:rPr>
        <w:t>。加大基层医疗卫生机构高层次人才和全科医生政策支持力度，对基层医疗机构引进培养的急需紧缺的高层次人才、二级以上医院副高以上医师和学科带头人，可参考医共体</w:t>
      </w:r>
      <w:r>
        <w:rPr>
          <w:rFonts w:ascii="仿宋_GB2312" w:hAnsi="仿宋_GB2312" w:eastAsia="仿宋_GB2312" w:cs="仿宋_GB2312"/>
          <w:color w:val="auto"/>
          <w:spacing w:val="3"/>
          <w:sz w:val="32"/>
          <w:szCs w:val="32"/>
          <w:highlight w:val="none"/>
          <w:lang w:val="zh-CN" w:eastAsia="zh-CN" w:bidi="zh-CN"/>
        </w:rPr>
        <w:t>牵头医院</w:t>
      </w:r>
      <w:r>
        <w:rPr>
          <w:rFonts w:hint="eastAsia" w:cs="仿宋_GB2312"/>
          <w:color w:val="auto"/>
          <w:spacing w:val="3"/>
          <w:sz w:val="32"/>
          <w:szCs w:val="32"/>
          <w:highlight w:val="none"/>
          <w:lang w:val="en-US" w:eastAsia="zh-CN" w:bidi="zh-CN"/>
        </w:rPr>
        <w:t>合理确定薪酬水平，实行年薪制、协议工资制等灵活多样的分配形式，不纳入单位绩效工资总量管理</w:t>
      </w:r>
      <w:r>
        <w:rPr>
          <w:rFonts w:hint="eastAsia" w:cs="仿宋_GB2312"/>
          <w:color w:val="auto"/>
          <w:spacing w:val="3"/>
          <w:sz w:val="32"/>
          <w:szCs w:val="32"/>
          <w:highlight w:val="none"/>
          <w:lang w:val="zh-CN" w:eastAsia="zh-CN" w:bidi="zh-CN"/>
        </w:rPr>
        <w:t>。</w:t>
      </w:r>
      <w:r>
        <w:rPr>
          <w:rFonts w:ascii="仿宋_GB2312" w:hAnsi="仿宋_GB2312" w:eastAsia="仿宋_GB2312" w:cs="仿宋_GB2312"/>
          <w:color w:val="auto"/>
          <w:spacing w:val="3"/>
          <w:sz w:val="32"/>
          <w:szCs w:val="32"/>
          <w:highlight w:val="none"/>
          <w:u w:val="none"/>
          <w:lang w:val="zh-CN" w:eastAsia="zh-CN" w:bidi="zh-CN"/>
        </w:rPr>
        <w:t>基层全科医生每月按不低于基层全科医生所聘专业技术岗位对应的岗位工资标准的20%核增基层全科医生岗位考核奖</w:t>
      </w:r>
      <w:r>
        <w:rPr>
          <w:rFonts w:hint="eastAsia" w:cs="仿宋_GB2312"/>
          <w:color w:val="auto"/>
          <w:spacing w:val="3"/>
          <w:sz w:val="32"/>
          <w:szCs w:val="32"/>
          <w:highlight w:val="none"/>
          <w:u w:val="none"/>
          <w:lang w:val="en-US" w:eastAsia="zh-CN" w:bidi="zh-CN"/>
        </w:rPr>
        <w:t>,</w:t>
      </w:r>
      <w:r>
        <w:rPr>
          <w:rFonts w:ascii="仿宋_GB2312" w:hAnsi="仿宋_GB2312" w:eastAsia="仿宋_GB2312" w:cs="仿宋_GB2312"/>
          <w:color w:val="auto"/>
          <w:spacing w:val="3"/>
          <w:sz w:val="32"/>
          <w:szCs w:val="32"/>
          <w:highlight w:val="none"/>
          <w:u w:val="none"/>
          <w:lang w:val="zh-CN" w:eastAsia="zh-CN" w:bidi="zh-CN"/>
        </w:rPr>
        <w:t>调离基层全科医生岗位后从调离次月起不再享受。基层全科医生平均收入水平与</w:t>
      </w:r>
      <w:r>
        <w:rPr>
          <w:rFonts w:hint="eastAsia" w:cs="仿宋_GB2312"/>
          <w:color w:val="auto"/>
          <w:spacing w:val="3"/>
          <w:sz w:val="32"/>
          <w:szCs w:val="32"/>
          <w:highlight w:val="none"/>
          <w:u w:val="none"/>
          <w:lang w:val="zh-CN" w:eastAsia="zh-CN" w:bidi="zh-CN"/>
        </w:rPr>
        <w:t>医共体总院</w:t>
      </w:r>
      <w:r>
        <w:rPr>
          <w:rFonts w:ascii="仿宋_GB2312" w:hAnsi="仿宋_GB2312" w:eastAsia="仿宋_GB2312" w:cs="仿宋_GB2312"/>
          <w:color w:val="auto"/>
          <w:spacing w:val="3"/>
          <w:sz w:val="32"/>
          <w:szCs w:val="32"/>
          <w:highlight w:val="none"/>
          <w:u w:val="none"/>
          <w:lang w:val="zh-CN" w:eastAsia="zh-CN" w:bidi="zh-CN"/>
        </w:rPr>
        <w:t>同等条件临床医师平均收入水平</w:t>
      </w:r>
      <w:r>
        <w:rPr>
          <w:rFonts w:ascii="仿宋_GB2312" w:hAnsi="仿宋_GB2312" w:eastAsia="仿宋_GB2312" w:cs="仿宋_GB2312"/>
          <w:color w:val="auto"/>
          <w:spacing w:val="3"/>
          <w:sz w:val="32"/>
          <w:szCs w:val="32"/>
          <w:highlight w:val="none"/>
          <w:lang w:val="zh-CN" w:eastAsia="zh-CN" w:bidi="zh-CN"/>
        </w:rPr>
        <w:t>相衔接，引导全科医生长期扎根基层</w:t>
      </w:r>
      <w:r>
        <w:rPr>
          <w:rFonts w:hint="eastAsia" w:ascii="仿宋_GB2312" w:hAnsi="仿宋_GB2312" w:eastAsia="仿宋_GB2312" w:cs="仿宋_GB2312"/>
          <w:color w:val="auto"/>
          <w:spacing w:val="3"/>
          <w:sz w:val="32"/>
          <w:szCs w:val="32"/>
          <w:highlight w:val="none"/>
          <w:lang w:val="zh-CN" w:eastAsia="zh-CN" w:bidi="zh-CN"/>
        </w:rPr>
        <w:t>，确保每万常住人口全科医生数达到</w:t>
      </w:r>
      <w:r>
        <w:rPr>
          <w:rFonts w:ascii="仿宋_GB2312" w:hAnsi="仿宋_GB2312" w:eastAsia="仿宋_GB2312" w:cs="仿宋_GB2312"/>
          <w:color w:val="auto"/>
          <w:spacing w:val="3"/>
          <w:sz w:val="32"/>
          <w:szCs w:val="32"/>
          <w:highlight w:val="none"/>
          <w:lang w:val="zh-CN" w:eastAsia="zh-CN" w:bidi="zh-CN"/>
        </w:rPr>
        <w:t>5</w:t>
      </w:r>
      <w:r>
        <w:rPr>
          <w:rFonts w:hint="eastAsia" w:ascii="仿宋_GB2312" w:hAnsi="仿宋_GB2312" w:eastAsia="仿宋_GB2312" w:cs="仿宋_GB2312"/>
          <w:color w:val="auto"/>
          <w:spacing w:val="3"/>
          <w:sz w:val="32"/>
          <w:szCs w:val="32"/>
          <w:highlight w:val="none"/>
          <w:lang w:val="zh-CN" w:eastAsia="zh-CN" w:bidi="zh-CN"/>
        </w:rPr>
        <w:t>人以上</w:t>
      </w:r>
      <w:r>
        <w:rPr>
          <w:rFonts w:ascii="仿宋_GB2312" w:hAnsi="仿宋_GB2312" w:eastAsia="仿宋_GB2312" w:cs="仿宋_GB2312"/>
          <w:color w:val="auto"/>
          <w:spacing w:val="3"/>
          <w:sz w:val="32"/>
          <w:szCs w:val="32"/>
          <w:highlight w:val="none"/>
          <w:lang w:val="zh-CN" w:eastAsia="zh-CN" w:bidi="zh-CN"/>
        </w:rPr>
        <w:t>。</w:t>
      </w:r>
      <w:r>
        <w:rPr>
          <w:rFonts w:hint="eastAsia" w:ascii="仿宋_GB2312" w:hAnsi="仿宋_GB2312" w:eastAsia="仿宋_GB2312" w:cs="仿宋_GB2312"/>
          <w:color w:val="auto"/>
          <w:spacing w:val="3"/>
          <w:sz w:val="32"/>
          <w:szCs w:val="32"/>
          <w:highlight w:val="none"/>
          <w:lang w:val="zh-CN" w:eastAsia="zh-CN" w:bidi="zh-CN"/>
        </w:rPr>
        <w:t>鼓励和支持</w:t>
      </w:r>
      <w:r>
        <w:rPr>
          <w:rFonts w:ascii="仿宋_GB2312" w:hAnsi="仿宋_GB2312" w:eastAsia="仿宋_GB2312" w:cs="仿宋_GB2312"/>
          <w:color w:val="auto"/>
          <w:spacing w:val="3"/>
          <w:sz w:val="32"/>
          <w:szCs w:val="32"/>
          <w:highlight w:val="none"/>
          <w:lang w:val="zh-CN" w:eastAsia="zh-CN" w:bidi="zh-CN"/>
        </w:rPr>
        <w:t>基层医务人员定期到上级医疗机构进修学习，加强家庭医生的实践技能培训及团队成员的继续医学教育，确保基层医务人员每3—5年到上级医疗机构免费进修学习3—6个月。基层医疗卫生机构可将每年业务收入的</w:t>
      </w:r>
      <w:r>
        <w:rPr>
          <w:rFonts w:hint="eastAsia" w:ascii="仿宋_GB2312" w:hAnsi="仿宋_GB2312" w:eastAsia="仿宋_GB2312" w:cs="仿宋_GB2312"/>
          <w:color w:val="auto"/>
          <w:spacing w:val="3"/>
          <w:sz w:val="32"/>
          <w:szCs w:val="32"/>
          <w:highlight w:val="none"/>
          <w:lang w:val="zh-CN" w:eastAsia="zh-CN" w:bidi="zh-CN"/>
        </w:rPr>
        <w:t>3%</w:t>
      </w:r>
      <w:r>
        <w:rPr>
          <w:rFonts w:ascii="仿宋_GB2312" w:hAnsi="仿宋_GB2312" w:eastAsia="仿宋_GB2312" w:cs="仿宋_GB2312"/>
          <w:color w:val="auto"/>
          <w:spacing w:val="3"/>
          <w:sz w:val="32"/>
          <w:szCs w:val="32"/>
          <w:highlight w:val="none"/>
          <w:lang w:val="zh-CN" w:eastAsia="zh-CN" w:bidi="zh-CN"/>
        </w:rPr>
        <w:t>作为人才建设专项资金，用于本单位的人才引进、学历提升和继续教育。深入推进乡村全科执业助理医师资格考试，推动乡村医生向执业（助理）医师转化。</w:t>
      </w:r>
      <w:r>
        <w:rPr>
          <w:rFonts w:hint="eastAsia" w:ascii="仿宋_GB2312" w:hAnsi="仿宋_GB2312" w:eastAsia="仿宋_GB2312" w:cs="仿宋_GB2312"/>
          <w:color w:val="auto"/>
          <w:spacing w:val="3"/>
          <w:sz w:val="32"/>
          <w:szCs w:val="32"/>
          <w:highlight w:val="none"/>
          <w:lang w:val="zh-CN" w:eastAsia="zh-CN" w:bidi="zh-CN"/>
        </w:rPr>
        <w:t>县财政安排基层医疗卫生人才建设专项资金，用于基层医疗卫生单位人才引进、</w:t>
      </w:r>
      <w:r>
        <w:rPr>
          <w:rFonts w:ascii="仿宋_GB2312" w:hAnsi="仿宋_GB2312" w:eastAsia="仿宋_GB2312" w:cs="仿宋_GB2312"/>
          <w:color w:val="auto"/>
          <w:spacing w:val="3"/>
          <w:sz w:val="32"/>
          <w:szCs w:val="32"/>
          <w:highlight w:val="none"/>
          <w:lang w:val="zh-CN" w:eastAsia="zh-CN" w:bidi="zh-CN"/>
        </w:rPr>
        <w:t>全科医生岗</w:t>
      </w:r>
      <w:r>
        <w:rPr>
          <w:rFonts w:ascii="仿宋_GB2312" w:hAnsi="仿宋_GB2312" w:eastAsia="仿宋_GB2312" w:cs="仿宋_GB2312"/>
          <w:color w:val="auto"/>
          <w:spacing w:val="3"/>
          <w:sz w:val="32"/>
          <w:szCs w:val="32"/>
          <w:highlight w:val="none"/>
          <w:u w:val="none"/>
          <w:lang w:val="zh-CN" w:eastAsia="zh-CN" w:bidi="zh-CN"/>
        </w:rPr>
        <w:t>位考核奖</w:t>
      </w:r>
      <w:r>
        <w:rPr>
          <w:rFonts w:hint="eastAsia" w:cs="仿宋_GB2312"/>
          <w:color w:val="auto"/>
          <w:spacing w:val="3"/>
          <w:sz w:val="32"/>
          <w:szCs w:val="32"/>
          <w:highlight w:val="none"/>
          <w:u w:val="none"/>
          <w:lang w:val="zh-CN" w:eastAsia="zh-CN" w:bidi="zh-CN"/>
        </w:rPr>
        <w:t>、</w:t>
      </w:r>
      <w:r>
        <w:rPr>
          <w:rFonts w:hint="eastAsia" w:ascii="仿宋_GB2312" w:hAnsi="仿宋_GB2312" w:eastAsia="仿宋_GB2312" w:cs="仿宋_GB2312"/>
          <w:color w:val="auto"/>
          <w:spacing w:val="3"/>
          <w:sz w:val="32"/>
          <w:szCs w:val="32"/>
          <w:highlight w:val="none"/>
          <w:lang w:val="zh-CN" w:eastAsia="zh-CN" w:bidi="zh-CN"/>
        </w:rPr>
        <w:t>学历提升、进修培训和继续教育</w:t>
      </w:r>
      <w:r>
        <w:rPr>
          <w:rFonts w:hint="eastAsia" w:cs="仿宋_GB2312"/>
          <w:color w:val="auto"/>
          <w:spacing w:val="3"/>
          <w:sz w:val="32"/>
          <w:szCs w:val="32"/>
          <w:highlight w:val="none"/>
          <w:lang w:val="zh-CN" w:eastAsia="zh-CN" w:bidi="zh-CN"/>
        </w:rPr>
        <w:t>等</w:t>
      </w:r>
      <w:r>
        <w:rPr>
          <w:rFonts w:hint="eastAsia" w:ascii="仿宋_GB2312" w:hAnsi="仿宋_GB2312" w:eastAsia="仿宋_GB2312" w:cs="仿宋_GB2312"/>
          <w:color w:val="auto"/>
          <w:spacing w:val="3"/>
          <w:sz w:val="32"/>
          <w:szCs w:val="32"/>
          <w:highlight w:val="none"/>
          <w:lang w:val="zh-CN" w:eastAsia="zh-CN" w:bidi="zh-CN"/>
        </w:rPr>
        <w:t>。</w:t>
      </w:r>
      <w:r>
        <w:rPr>
          <w:rFonts w:ascii="仿宋_GB2312" w:hAnsi="仿宋_GB2312" w:eastAsia="仿宋_GB2312" w:cs="仿宋_GB2312"/>
          <w:color w:val="auto"/>
          <w:spacing w:val="3"/>
          <w:sz w:val="32"/>
          <w:szCs w:val="32"/>
          <w:highlight w:val="none"/>
          <w:lang w:val="zh-CN" w:eastAsia="zh-CN" w:bidi="zh-CN"/>
        </w:rPr>
        <w:t>（责任单位：</w:t>
      </w:r>
      <w:r>
        <w:rPr>
          <w:rFonts w:hint="eastAsia" w:cs="仿宋_GB2312"/>
          <w:color w:val="auto"/>
          <w:spacing w:val="3"/>
          <w:sz w:val="32"/>
          <w:szCs w:val="32"/>
          <w:highlight w:val="none"/>
          <w:lang w:val="zh-CN" w:eastAsia="zh-CN" w:bidi="zh-CN"/>
        </w:rPr>
        <w:t>县</w:t>
      </w:r>
      <w:r>
        <w:rPr>
          <w:rFonts w:ascii="仿宋_GB2312" w:hAnsi="仿宋_GB2312" w:eastAsia="仿宋_GB2312" w:cs="仿宋_GB2312"/>
          <w:color w:val="auto"/>
          <w:spacing w:val="3"/>
          <w:sz w:val="32"/>
          <w:szCs w:val="32"/>
          <w:highlight w:val="none"/>
          <w:lang w:val="zh-CN" w:eastAsia="zh-CN" w:bidi="zh-CN"/>
        </w:rPr>
        <w:t>财政局、</w:t>
      </w:r>
      <w:r>
        <w:rPr>
          <w:rFonts w:hint="eastAsia" w:cs="仿宋_GB2312"/>
          <w:color w:val="auto"/>
          <w:spacing w:val="3"/>
          <w:sz w:val="32"/>
          <w:szCs w:val="32"/>
          <w:highlight w:val="none"/>
          <w:lang w:val="zh-CN" w:eastAsia="zh-CN" w:bidi="zh-CN"/>
        </w:rPr>
        <w:t>县</w:t>
      </w:r>
      <w:r>
        <w:rPr>
          <w:rFonts w:ascii="仿宋_GB2312" w:hAnsi="仿宋_GB2312" w:eastAsia="仿宋_GB2312" w:cs="仿宋_GB2312"/>
          <w:color w:val="auto"/>
          <w:spacing w:val="3"/>
          <w:sz w:val="32"/>
          <w:szCs w:val="32"/>
          <w:highlight w:val="none"/>
          <w:lang w:val="zh-CN" w:eastAsia="zh-CN" w:bidi="zh-CN"/>
        </w:rPr>
        <w:t>人力社保局</w:t>
      </w:r>
      <w:r>
        <w:rPr>
          <w:rFonts w:hint="eastAsia" w:cs="仿宋_GB2312"/>
          <w:color w:val="auto"/>
          <w:spacing w:val="3"/>
          <w:sz w:val="32"/>
          <w:szCs w:val="32"/>
          <w:highlight w:val="none"/>
          <w:lang w:val="zh-CN" w:eastAsia="zh-CN" w:bidi="zh-CN"/>
        </w:rPr>
        <w:t>、县</w:t>
      </w:r>
      <w:r>
        <w:rPr>
          <w:rFonts w:ascii="仿宋_GB2312" w:hAnsi="仿宋_GB2312" w:eastAsia="仿宋_GB2312" w:cs="仿宋_GB2312"/>
          <w:color w:val="auto"/>
          <w:spacing w:val="3"/>
          <w:sz w:val="32"/>
          <w:szCs w:val="32"/>
          <w:highlight w:val="none"/>
          <w:lang w:val="zh-CN" w:eastAsia="zh-CN" w:bidi="zh-CN"/>
        </w:rPr>
        <w:t>卫生健康</w:t>
      </w:r>
      <w:r>
        <w:rPr>
          <w:rFonts w:hint="eastAsia" w:cs="仿宋_GB2312"/>
          <w:color w:val="auto"/>
          <w:spacing w:val="3"/>
          <w:sz w:val="32"/>
          <w:szCs w:val="32"/>
          <w:highlight w:val="none"/>
          <w:lang w:val="zh-CN" w:eastAsia="zh-CN" w:bidi="zh-CN"/>
        </w:rPr>
        <w:t>局</w:t>
      </w:r>
      <w:r>
        <w:rPr>
          <w:rFonts w:ascii="仿宋_GB2312" w:hAnsi="仿宋_GB2312" w:eastAsia="仿宋_GB2312" w:cs="仿宋_GB2312"/>
          <w:color w:val="auto"/>
          <w:spacing w:val="3"/>
          <w:sz w:val="32"/>
          <w:szCs w:val="32"/>
          <w:highlight w:val="none"/>
          <w:lang w:val="zh-CN" w:eastAsia="zh-CN" w:bidi="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243" w:firstLine="560" w:firstLineChars="200"/>
        <w:jc w:val="both"/>
        <w:textAlignment w:val="auto"/>
        <w:rPr>
          <w:rFonts w:hint="eastAsia" w:ascii="楷体" w:hAnsi="楷体" w:eastAsia="楷体" w:cs="楷体"/>
          <w:color w:val="auto"/>
          <w:spacing w:val="-20"/>
          <w:sz w:val="32"/>
          <w:highlight w:val="none"/>
          <w:lang w:val="en-US" w:eastAsia="zh-CN"/>
        </w:rPr>
      </w:pPr>
      <w:r>
        <w:rPr>
          <w:rFonts w:hint="eastAsia" w:ascii="楷体" w:hAnsi="楷体" w:eastAsia="楷体" w:cs="楷体"/>
          <w:color w:val="auto"/>
          <w:spacing w:val="-20"/>
          <w:sz w:val="32"/>
          <w:highlight w:val="none"/>
          <w:lang w:val="en-US" w:eastAsia="zh-CN"/>
        </w:rPr>
        <w:t>（四）围绕“促变革”，推进</w:t>
      </w:r>
      <w:r>
        <w:rPr>
          <w:rFonts w:hint="eastAsia" w:ascii="楷体" w:hAnsi="楷体" w:eastAsia="楷体" w:cs="楷体"/>
          <w:color w:val="auto"/>
          <w:spacing w:val="-10"/>
          <w:sz w:val="32"/>
          <w:highlight w:val="none"/>
          <w:lang w:val="en-US" w:eastAsia="zh-CN"/>
        </w:rPr>
        <w:t>数字化健康</w:t>
      </w:r>
      <w:r>
        <w:rPr>
          <w:rFonts w:hint="eastAsia" w:ascii="楷体" w:hAnsi="楷体" w:eastAsia="楷体" w:cs="楷体"/>
          <w:color w:val="auto"/>
          <w:spacing w:val="-20"/>
          <w:sz w:val="32"/>
          <w:highlight w:val="none"/>
          <w:lang w:val="en-US" w:eastAsia="zh-CN"/>
        </w:rPr>
        <w:t>新服务</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113" w:right="243" w:firstLine="631"/>
        <w:jc w:val="both"/>
        <w:textAlignment w:val="auto"/>
        <w:rPr>
          <w:rFonts w:hint="eastAsia"/>
          <w:color w:val="000000" w:themeColor="text1"/>
          <w:spacing w:val="-3"/>
          <w:sz w:val="32"/>
          <w:szCs w:val="32"/>
          <w:highlight w:val="none"/>
          <w:lang w:val="zh-CN" w:eastAsia="zh-CN"/>
        </w:rPr>
      </w:pPr>
      <w:r>
        <w:rPr>
          <w:rFonts w:hint="eastAsia" w:ascii="仿宋_GB2312" w:hAnsi="仿宋_GB2312" w:eastAsia="仿宋_GB2312" w:cs="仿宋_GB2312"/>
          <w:color w:val="auto"/>
          <w:spacing w:val="3"/>
          <w:sz w:val="32"/>
          <w:szCs w:val="32"/>
          <w:highlight w:val="none"/>
          <w:lang w:val="en-US" w:eastAsia="zh-CN" w:bidi="zh-CN"/>
        </w:rPr>
        <w:t>1.</w:t>
      </w:r>
      <w:r>
        <w:rPr>
          <w:rFonts w:hint="eastAsia"/>
          <w:color w:val="auto"/>
          <w:spacing w:val="-3"/>
          <w:sz w:val="32"/>
          <w:szCs w:val="32"/>
          <w:highlight w:val="none"/>
          <w:lang w:val="zh-CN" w:eastAsia="zh-CN"/>
        </w:rPr>
        <w:t>推进数字赋能基层卫生健康。以区域卫生健康信息平台为支撑，深度对接区域医疗、公共卫生及其他健康相关信息平台，集合公安、民政等多部门数据资源，推进老年慢病数字健康新服务，逐步建立集“知健康、享健康、保健康、促健康、SOS救援”五大服务内容和“患者管理、人群管理、健康管理、业务管理”四大管理体系的全民健康数字化管理新模式。到2025年底，实现老年慢病数字健康新服务迭代升级，由老年“两慢病”推广到全人群，实现全人群“精密智控、精准施策、闭环管理”的数字化卫生健康治理</w:t>
      </w:r>
      <w:r>
        <w:rPr>
          <w:rFonts w:hint="eastAsia"/>
          <w:color w:val="000000" w:themeColor="text1"/>
          <w:spacing w:val="-3"/>
          <w:sz w:val="32"/>
          <w:szCs w:val="32"/>
          <w:highlight w:val="none"/>
          <w:lang w:val="zh-CN" w:eastAsia="zh-CN"/>
        </w:rPr>
        <w:t>新机制全覆盖。（责任单位：县卫生健康局、县财政局、县大数据局、县发改局、县委改革办）</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113" w:right="243" w:firstLine="631"/>
        <w:jc w:val="both"/>
        <w:textAlignment w:val="auto"/>
        <w:rPr>
          <w:color w:val="auto"/>
          <w:spacing w:val="-3"/>
          <w:sz w:val="32"/>
          <w:highlight w:val="none"/>
        </w:rPr>
      </w:pPr>
      <w:r>
        <w:rPr>
          <w:rFonts w:hint="eastAsia"/>
          <w:color w:val="000000" w:themeColor="text1"/>
          <w:spacing w:val="-3"/>
          <w:sz w:val="32"/>
          <w:highlight w:val="none"/>
          <w:lang w:val="en-US" w:eastAsia="zh-CN"/>
        </w:rPr>
        <w:t>2.</w:t>
      </w:r>
      <w:r>
        <w:rPr>
          <w:color w:val="000000" w:themeColor="text1"/>
          <w:spacing w:val="-3"/>
          <w:sz w:val="32"/>
          <w:highlight w:val="none"/>
        </w:rPr>
        <w:t>分批次打造智慧化村卫生室（社区卫生服务站），符合条件的基层医疗卫生机构实现未来</w:t>
      </w:r>
      <w:r>
        <w:rPr>
          <w:color w:val="000000" w:themeColor="text1"/>
          <w:spacing w:val="-23"/>
          <w:w w:val="95"/>
          <w:sz w:val="32"/>
          <w:highlight w:val="none"/>
        </w:rPr>
        <w:t>社区</w:t>
      </w:r>
      <w:r>
        <w:rPr>
          <w:color w:val="000000" w:themeColor="text1"/>
          <w:spacing w:val="-3"/>
          <w:w w:val="95"/>
          <w:sz w:val="32"/>
          <w:highlight w:val="none"/>
        </w:rPr>
        <w:t>（未来乡村</w:t>
      </w:r>
      <w:r>
        <w:rPr>
          <w:color w:val="000000" w:themeColor="text1"/>
          <w:spacing w:val="-41"/>
          <w:w w:val="95"/>
          <w:sz w:val="32"/>
          <w:highlight w:val="none"/>
        </w:rPr>
        <w:t>）</w:t>
      </w:r>
      <w:r>
        <w:rPr>
          <w:color w:val="000000" w:themeColor="text1"/>
          <w:spacing w:val="-13"/>
          <w:w w:val="95"/>
          <w:sz w:val="32"/>
          <w:highlight w:val="none"/>
        </w:rPr>
        <w:t>健康场景、智慧化社区卫生服务站</w:t>
      </w:r>
      <w:r>
        <w:rPr>
          <w:color w:val="000000" w:themeColor="text1"/>
          <w:spacing w:val="-3"/>
          <w:w w:val="95"/>
          <w:sz w:val="32"/>
          <w:highlight w:val="none"/>
        </w:rPr>
        <w:t>（村卫生室</w:t>
      </w:r>
      <w:r>
        <w:rPr>
          <w:color w:val="000000" w:themeColor="text1"/>
          <w:w w:val="95"/>
          <w:sz w:val="32"/>
          <w:highlight w:val="none"/>
        </w:rPr>
        <w:t>）</w:t>
      </w:r>
      <w:r>
        <w:rPr>
          <w:color w:val="000000" w:themeColor="text1"/>
          <w:spacing w:val="-3"/>
          <w:sz w:val="32"/>
          <w:highlight w:val="none"/>
        </w:rPr>
        <w:t>分级建设全覆盖。（责任单位：</w:t>
      </w:r>
      <w:r>
        <w:rPr>
          <w:rFonts w:hint="eastAsia" w:cs="仿宋_GB2312"/>
          <w:color w:val="000000" w:themeColor="text1"/>
          <w:spacing w:val="-13"/>
          <w:sz w:val="32"/>
          <w:szCs w:val="32"/>
          <w:highlight w:val="none"/>
          <w:lang w:val="zh-CN" w:eastAsia="zh-CN" w:bidi="zh-CN"/>
        </w:rPr>
        <w:t>县卫生健康局</w:t>
      </w:r>
      <w:r>
        <w:rPr>
          <w:color w:val="000000" w:themeColor="text1"/>
          <w:spacing w:val="-3"/>
          <w:sz w:val="32"/>
          <w:highlight w:val="none"/>
        </w:rPr>
        <w:t>、</w:t>
      </w:r>
      <w:r>
        <w:rPr>
          <w:rFonts w:hint="eastAsia"/>
          <w:color w:val="000000" w:themeColor="text1"/>
          <w:spacing w:val="-3"/>
          <w:sz w:val="32"/>
          <w:highlight w:val="none"/>
          <w:lang w:eastAsia="zh-CN"/>
        </w:rPr>
        <w:t>县</w:t>
      </w:r>
      <w:r>
        <w:rPr>
          <w:color w:val="000000" w:themeColor="text1"/>
          <w:spacing w:val="-3"/>
          <w:sz w:val="32"/>
          <w:highlight w:val="none"/>
        </w:rPr>
        <w:t>财政局、</w:t>
      </w:r>
      <w:r>
        <w:rPr>
          <w:rFonts w:hint="eastAsia"/>
          <w:color w:val="000000" w:themeColor="text1"/>
          <w:spacing w:val="-3"/>
          <w:sz w:val="32"/>
          <w:highlight w:val="none"/>
          <w:lang w:eastAsia="zh-CN"/>
        </w:rPr>
        <w:t>县大数据管理中心</w:t>
      </w:r>
      <w:r>
        <w:rPr>
          <w:color w:val="000000" w:themeColor="text1"/>
          <w:spacing w:val="-3"/>
          <w:sz w:val="32"/>
          <w:highlight w:val="none"/>
        </w:rPr>
        <w:t>、</w:t>
      </w:r>
      <w:r>
        <w:rPr>
          <w:rFonts w:hint="eastAsia"/>
          <w:color w:val="000000" w:themeColor="text1"/>
          <w:spacing w:val="-3"/>
          <w:sz w:val="32"/>
          <w:highlight w:val="none"/>
          <w:lang w:eastAsia="zh-CN"/>
        </w:rPr>
        <w:t>县</w:t>
      </w:r>
      <w:r>
        <w:rPr>
          <w:color w:val="000000" w:themeColor="text1"/>
          <w:spacing w:val="-3"/>
          <w:sz w:val="32"/>
          <w:highlight w:val="none"/>
        </w:rPr>
        <w:t>发改</w:t>
      </w:r>
      <w:r>
        <w:rPr>
          <w:rFonts w:hint="eastAsia"/>
          <w:color w:val="000000" w:themeColor="text1"/>
          <w:spacing w:val="-3"/>
          <w:sz w:val="32"/>
          <w:highlight w:val="none"/>
          <w:lang w:eastAsia="zh-CN"/>
        </w:rPr>
        <w:t>局</w:t>
      </w:r>
      <w:r>
        <w:rPr>
          <w:color w:val="000000" w:themeColor="text1"/>
          <w:spacing w:val="-3"/>
          <w:sz w:val="32"/>
          <w:highlight w:val="none"/>
        </w:rPr>
        <w:t>、</w:t>
      </w:r>
      <w:r>
        <w:rPr>
          <w:rFonts w:hint="eastAsia"/>
          <w:color w:val="000000" w:themeColor="text1"/>
          <w:spacing w:val="-3"/>
          <w:sz w:val="32"/>
          <w:highlight w:val="none"/>
          <w:lang w:eastAsia="zh-CN"/>
        </w:rPr>
        <w:t>县</w:t>
      </w:r>
      <w:r>
        <w:rPr>
          <w:color w:val="000000" w:themeColor="text1"/>
          <w:spacing w:val="-3"/>
          <w:sz w:val="32"/>
          <w:highlight w:val="none"/>
        </w:rPr>
        <w:t>委改革办、</w:t>
      </w:r>
      <w:r>
        <w:rPr>
          <w:rFonts w:hint="eastAsia"/>
          <w:color w:val="000000" w:themeColor="text1"/>
          <w:spacing w:val="-3"/>
          <w:sz w:val="32"/>
          <w:highlight w:val="none"/>
          <w:lang w:eastAsia="zh-CN"/>
        </w:rPr>
        <w:t>县</w:t>
      </w:r>
      <w:r>
        <w:rPr>
          <w:color w:val="000000" w:themeColor="text1"/>
          <w:spacing w:val="-3"/>
          <w:sz w:val="32"/>
          <w:highlight w:val="none"/>
        </w:rPr>
        <w:t>建设局</w:t>
      </w:r>
      <w:r>
        <w:rPr>
          <w:rFonts w:hint="eastAsia"/>
          <w:color w:val="000000" w:themeColor="text1"/>
          <w:spacing w:val="-3"/>
          <w:sz w:val="32"/>
          <w:highlight w:val="none"/>
          <w:lang w:eastAsia="zh-CN"/>
        </w:rPr>
        <w:t>、县农业</w:t>
      </w:r>
      <w:r>
        <w:rPr>
          <w:rFonts w:hint="eastAsia"/>
          <w:color w:val="auto"/>
          <w:spacing w:val="-3"/>
          <w:sz w:val="32"/>
          <w:highlight w:val="none"/>
          <w:lang w:eastAsia="zh-CN"/>
        </w:rPr>
        <w:t>农村局</w:t>
      </w:r>
      <w:r>
        <w:rPr>
          <w:color w:val="auto"/>
          <w:spacing w:val="-3"/>
          <w:sz w:val="32"/>
          <w:highlight w:val="none"/>
        </w:rPr>
        <w:t>）</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16" w:firstLineChars="200"/>
        <w:jc w:val="both"/>
        <w:textAlignment w:val="auto"/>
        <w:rPr>
          <w:rFonts w:hint="eastAsia" w:ascii="楷体" w:hAnsi="楷体" w:eastAsia="楷体" w:cs="楷体"/>
          <w:color w:val="auto"/>
          <w:spacing w:val="-6"/>
          <w:sz w:val="32"/>
          <w:szCs w:val="32"/>
          <w:highlight w:val="none"/>
          <w:lang w:val="zh-CN" w:eastAsia="zh-CN" w:bidi="zh-CN"/>
        </w:rPr>
      </w:pPr>
      <w:r>
        <w:rPr>
          <w:rFonts w:hint="eastAsia" w:ascii="楷体" w:hAnsi="楷体" w:eastAsia="楷体" w:cs="楷体"/>
          <w:color w:val="auto"/>
          <w:spacing w:val="-6"/>
          <w:sz w:val="32"/>
          <w:szCs w:val="32"/>
          <w:highlight w:val="none"/>
          <w:lang w:val="zh-CN" w:eastAsia="zh-CN" w:bidi="zh-CN"/>
        </w:rPr>
        <w:t>（五）围绕“优政策”，优化基层医疗卫生保障机制</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1" w:rightChars="0" w:firstLine="652" w:firstLineChars="200"/>
        <w:jc w:val="both"/>
        <w:textAlignment w:val="auto"/>
        <w:rPr>
          <w:rFonts w:ascii="仿宋_GB2312" w:hAnsi="仿宋_GB2312" w:eastAsia="仿宋_GB2312" w:cs="仿宋_GB2312"/>
          <w:color w:val="auto"/>
          <w:spacing w:val="3"/>
          <w:sz w:val="32"/>
          <w:szCs w:val="32"/>
          <w:highlight w:val="none"/>
          <w:lang w:val="zh-CN" w:eastAsia="zh-CN" w:bidi="zh-CN"/>
        </w:rPr>
      </w:pPr>
      <w:r>
        <w:rPr>
          <w:rFonts w:hint="eastAsia" w:ascii="仿宋_GB2312" w:hAnsi="仿宋_GB2312" w:eastAsia="仿宋_GB2312" w:cs="仿宋_GB2312"/>
          <w:color w:val="auto"/>
          <w:spacing w:val="3"/>
          <w:sz w:val="32"/>
          <w:szCs w:val="32"/>
          <w:highlight w:val="none"/>
          <w:lang w:val="en-US" w:eastAsia="zh-CN" w:bidi="zh-CN"/>
        </w:rPr>
        <w:t>1.</w:t>
      </w:r>
      <w:r>
        <w:rPr>
          <w:rFonts w:ascii="仿宋_GB2312" w:hAnsi="仿宋_GB2312" w:eastAsia="仿宋_GB2312" w:cs="仿宋_GB2312"/>
          <w:color w:val="auto"/>
          <w:spacing w:val="3"/>
          <w:sz w:val="32"/>
          <w:szCs w:val="32"/>
          <w:highlight w:val="none"/>
          <w:lang w:val="zh-CN" w:eastAsia="zh-CN" w:bidi="zh-CN"/>
        </w:rPr>
        <w:t>完善财政补偿机制改革。财政补偿要为推动基层医疗卫生事业健康发展提供保障，确保支出总量可持续增长，标准当量固定单价随着物价指数变动而调整；符合《浙江省基本公共卫生服务规范》要求的基本公共卫生当量予以足额购买</w:t>
      </w:r>
      <w:r>
        <w:rPr>
          <w:rFonts w:hint="eastAsia" w:cs="仿宋_GB2312"/>
          <w:color w:val="auto"/>
          <w:spacing w:val="3"/>
          <w:sz w:val="32"/>
          <w:szCs w:val="32"/>
          <w:highlight w:val="none"/>
          <w:lang w:val="zh-CN" w:eastAsia="zh-CN" w:bidi="zh-CN"/>
        </w:rPr>
        <w:t>，基本医疗工作当量年增长率不超过</w:t>
      </w:r>
      <w:r>
        <w:rPr>
          <w:rFonts w:hint="eastAsia" w:cs="仿宋_GB2312"/>
          <w:color w:val="auto"/>
          <w:spacing w:val="3"/>
          <w:sz w:val="32"/>
          <w:szCs w:val="32"/>
          <w:highlight w:val="none"/>
          <w:lang w:val="en-US" w:eastAsia="zh-CN" w:bidi="zh-CN"/>
        </w:rPr>
        <w:t>30%</w:t>
      </w:r>
      <w:r>
        <w:rPr>
          <w:rFonts w:ascii="仿宋_GB2312" w:hAnsi="仿宋_GB2312" w:eastAsia="仿宋_GB2312" w:cs="仿宋_GB2312"/>
          <w:color w:val="auto"/>
          <w:spacing w:val="3"/>
          <w:sz w:val="32"/>
          <w:szCs w:val="32"/>
          <w:highlight w:val="none"/>
          <w:lang w:val="zh-CN" w:eastAsia="zh-CN" w:bidi="zh-CN"/>
        </w:rPr>
        <w:t>。加大项目支持力度，提高慢病长处方、住院服务</w:t>
      </w:r>
      <w:r>
        <w:rPr>
          <w:rFonts w:hint="eastAsia" w:ascii="仿宋_GB2312" w:hAnsi="仿宋_GB2312" w:eastAsia="仿宋_GB2312" w:cs="仿宋_GB2312"/>
          <w:color w:val="auto"/>
          <w:spacing w:val="3"/>
          <w:sz w:val="32"/>
          <w:szCs w:val="32"/>
          <w:highlight w:val="none"/>
          <w:lang w:val="zh-CN" w:eastAsia="zh-CN" w:bidi="zh-CN"/>
        </w:rPr>
        <w:t>、</w:t>
      </w:r>
      <w:r>
        <w:rPr>
          <w:rFonts w:ascii="仿宋_GB2312" w:hAnsi="仿宋_GB2312" w:eastAsia="仿宋_GB2312" w:cs="仿宋_GB2312"/>
          <w:color w:val="auto"/>
          <w:spacing w:val="3"/>
          <w:sz w:val="32"/>
          <w:szCs w:val="32"/>
          <w:highlight w:val="none"/>
          <w:lang w:val="zh-CN" w:eastAsia="zh-CN" w:bidi="zh-CN"/>
        </w:rPr>
        <w:t>手术等基层医疗服务短板项目和中医等特色项目的当量值；扩大财政支持范围，将预防、康复、安宁疗护、延时门诊等项目</w:t>
      </w:r>
      <w:r>
        <w:rPr>
          <w:rFonts w:ascii="仿宋_GB2312" w:hAnsi="仿宋_GB2312" w:eastAsia="仿宋_GB2312" w:cs="仿宋_GB2312"/>
          <w:color w:val="auto"/>
          <w:spacing w:val="3"/>
          <w:sz w:val="32"/>
          <w:szCs w:val="32"/>
          <w:highlight w:val="none"/>
          <w:u w:val="none"/>
          <w:lang w:val="zh-CN" w:eastAsia="zh-CN" w:bidi="zh-CN"/>
        </w:rPr>
        <w:t>以</w:t>
      </w:r>
      <w:r>
        <w:rPr>
          <w:rFonts w:hint="eastAsia" w:ascii="仿宋_GB2312" w:hAnsi="仿宋_GB2312" w:eastAsia="仿宋_GB2312" w:cs="仿宋_GB2312"/>
          <w:color w:val="auto"/>
          <w:spacing w:val="3"/>
          <w:sz w:val="32"/>
          <w:szCs w:val="32"/>
          <w:highlight w:val="none"/>
          <w:u w:val="none"/>
          <w:lang w:val="zh-CN" w:eastAsia="zh-CN" w:bidi="zh-CN"/>
        </w:rPr>
        <w:t>合理当量纳入政府购买基本公共卫生和基本医疗服务，促进基层医疗服务由重治病向保健康倾</w:t>
      </w:r>
      <w:r>
        <w:rPr>
          <w:rFonts w:hint="eastAsia" w:cs="仿宋_GB2312"/>
          <w:color w:val="auto"/>
          <w:spacing w:val="3"/>
          <w:sz w:val="32"/>
          <w:szCs w:val="32"/>
          <w:highlight w:val="none"/>
          <w:lang w:val="zh-CN" w:eastAsia="zh-CN" w:bidi="zh-CN"/>
        </w:rPr>
        <w:t>斜。</w:t>
      </w:r>
      <w:r>
        <w:rPr>
          <w:rFonts w:ascii="仿宋_GB2312" w:hAnsi="仿宋_GB2312" w:eastAsia="仿宋_GB2312" w:cs="仿宋_GB2312"/>
          <w:color w:val="auto"/>
          <w:spacing w:val="3"/>
          <w:sz w:val="32"/>
          <w:szCs w:val="32"/>
          <w:highlight w:val="none"/>
          <w:lang w:val="zh-CN" w:eastAsia="zh-CN" w:bidi="zh-CN"/>
        </w:rPr>
        <w:t>因疫情等不可抗因素造成的工作当量下降，</w:t>
      </w:r>
      <w:r>
        <w:rPr>
          <w:rFonts w:hint="eastAsia" w:cs="仿宋_GB2312"/>
          <w:color w:val="auto"/>
          <w:spacing w:val="3"/>
          <w:sz w:val="32"/>
          <w:szCs w:val="32"/>
          <w:highlight w:val="none"/>
          <w:lang w:val="zh-CN" w:eastAsia="zh-CN" w:bidi="zh-CN"/>
        </w:rPr>
        <w:t>可考虑不可抗因素造成的影响予以适当补助。对因</w:t>
      </w:r>
      <w:r>
        <w:rPr>
          <w:rFonts w:ascii="仿宋_GB2312" w:hAnsi="仿宋_GB2312" w:eastAsia="仿宋_GB2312" w:cs="仿宋_GB2312"/>
          <w:color w:val="auto"/>
          <w:spacing w:val="3"/>
          <w:sz w:val="32"/>
          <w:szCs w:val="32"/>
          <w:highlight w:val="none"/>
          <w:lang w:val="zh-CN" w:eastAsia="zh-CN" w:bidi="zh-CN"/>
        </w:rPr>
        <w:t>客观因素造成收入不足以</w:t>
      </w:r>
      <w:r>
        <w:rPr>
          <w:rFonts w:ascii="仿宋_GB2312" w:hAnsi="仿宋_GB2312" w:eastAsia="仿宋_GB2312" w:cs="仿宋_GB2312"/>
          <w:color w:val="auto"/>
          <w:spacing w:val="3"/>
          <w:sz w:val="32"/>
          <w:szCs w:val="32"/>
          <w:highlight w:val="none"/>
          <w:u w:val="none"/>
          <w:lang w:val="zh-CN" w:eastAsia="zh-CN" w:bidi="zh-CN"/>
        </w:rPr>
        <w:t>弥补</w:t>
      </w:r>
      <w:r>
        <w:rPr>
          <w:rFonts w:ascii="仿宋_GB2312" w:hAnsi="仿宋_GB2312" w:eastAsia="仿宋_GB2312" w:cs="仿宋_GB2312"/>
          <w:color w:val="auto"/>
          <w:spacing w:val="3"/>
          <w:sz w:val="32"/>
          <w:szCs w:val="32"/>
          <w:highlight w:val="none"/>
          <w:lang w:val="zh-CN" w:eastAsia="zh-CN" w:bidi="zh-CN"/>
        </w:rPr>
        <w:t>正常运行的，经考核后政府应确保其在编人员平均收入与当地基层医疗卫生机构在编人员的平均收入水平相衔接。（责任单位：</w:t>
      </w:r>
      <w:r>
        <w:rPr>
          <w:rFonts w:hint="eastAsia" w:cs="仿宋_GB2312"/>
          <w:color w:val="auto"/>
          <w:spacing w:val="3"/>
          <w:sz w:val="32"/>
          <w:szCs w:val="32"/>
          <w:highlight w:val="none"/>
          <w:lang w:val="zh-CN" w:eastAsia="zh-CN" w:bidi="zh-CN"/>
        </w:rPr>
        <w:t>县</w:t>
      </w:r>
      <w:r>
        <w:rPr>
          <w:rFonts w:ascii="仿宋_GB2312" w:hAnsi="仿宋_GB2312" w:eastAsia="仿宋_GB2312" w:cs="仿宋_GB2312"/>
          <w:color w:val="auto"/>
          <w:spacing w:val="3"/>
          <w:sz w:val="32"/>
          <w:szCs w:val="32"/>
          <w:highlight w:val="none"/>
          <w:lang w:val="zh-CN" w:eastAsia="zh-CN" w:bidi="zh-CN"/>
        </w:rPr>
        <w:t>财政局、</w:t>
      </w:r>
      <w:r>
        <w:rPr>
          <w:rFonts w:hint="eastAsia" w:cs="仿宋_GB2312"/>
          <w:color w:val="auto"/>
          <w:spacing w:val="3"/>
          <w:sz w:val="32"/>
          <w:szCs w:val="32"/>
          <w:highlight w:val="none"/>
          <w:lang w:val="zh-CN" w:eastAsia="zh-CN" w:bidi="zh-CN"/>
        </w:rPr>
        <w:t>县</w:t>
      </w:r>
      <w:r>
        <w:rPr>
          <w:rFonts w:ascii="仿宋_GB2312" w:hAnsi="仿宋_GB2312" w:eastAsia="仿宋_GB2312" w:cs="仿宋_GB2312"/>
          <w:color w:val="auto"/>
          <w:spacing w:val="3"/>
          <w:sz w:val="32"/>
          <w:szCs w:val="32"/>
          <w:highlight w:val="none"/>
          <w:lang w:val="zh-CN" w:eastAsia="zh-CN" w:bidi="zh-CN"/>
        </w:rPr>
        <w:t>卫生健康</w:t>
      </w:r>
      <w:r>
        <w:rPr>
          <w:rFonts w:hint="eastAsia" w:cs="仿宋_GB2312"/>
          <w:color w:val="auto"/>
          <w:spacing w:val="3"/>
          <w:sz w:val="32"/>
          <w:szCs w:val="32"/>
          <w:highlight w:val="none"/>
          <w:lang w:val="zh-CN" w:eastAsia="zh-CN" w:bidi="zh-CN"/>
        </w:rPr>
        <w:t>局</w:t>
      </w:r>
      <w:r>
        <w:rPr>
          <w:rFonts w:ascii="仿宋_GB2312" w:hAnsi="仿宋_GB2312" w:eastAsia="仿宋_GB2312" w:cs="仿宋_GB2312"/>
          <w:color w:val="auto"/>
          <w:spacing w:val="3"/>
          <w:sz w:val="32"/>
          <w:szCs w:val="32"/>
          <w:highlight w:val="none"/>
          <w:lang w:val="zh-CN" w:eastAsia="zh-CN" w:bidi="zh-CN"/>
        </w:rPr>
        <w:t>）</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ascii="仿宋_GB2312" w:hAnsi="仿宋_GB2312" w:eastAsia="仿宋_GB2312" w:cs="仿宋_GB2312"/>
          <w:color w:val="000000" w:themeColor="text1"/>
          <w:spacing w:val="3"/>
          <w:sz w:val="32"/>
          <w:szCs w:val="32"/>
          <w:highlight w:val="none"/>
          <w:lang w:val="zh-CN" w:eastAsia="zh-CN" w:bidi="zh-CN"/>
        </w:rPr>
      </w:pPr>
      <w:r>
        <w:rPr>
          <w:rFonts w:hint="eastAsia" w:cs="仿宋_GB2312"/>
          <w:color w:val="auto"/>
          <w:spacing w:val="3"/>
          <w:sz w:val="32"/>
          <w:szCs w:val="32"/>
          <w:highlight w:val="none"/>
          <w:lang w:val="en-US" w:eastAsia="zh-CN" w:bidi="zh-CN"/>
        </w:rPr>
        <w:t>2.加强</w:t>
      </w:r>
      <w:r>
        <w:rPr>
          <w:rFonts w:ascii="仿宋_GB2312" w:hAnsi="仿宋_GB2312" w:eastAsia="仿宋_GB2312" w:cs="仿宋_GB2312"/>
          <w:color w:val="auto"/>
          <w:spacing w:val="3"/>
          <w:sz w:val="32"/>
          <w:szCs w:val="32"/>
          <w:highlight w:val="none"/>
          <w:lang w:val="zh-CN" w:eastAsia="zh-CN" w:bidi="zh-CN"/>
        </w:rPr>
        <w:t>医保政策支持。按照“基层首诊、双向转诊、分级诊疗”要求，合理拉开基层医疗卫生机构和其他医疗机构的报销比例。职工医保参保人员在基层医疗卫生机构医疗的，报销比例较其他定点医疗机构</w:t>
      </w:r>
      <w:r>
        <w:rPr>
          <w:rFonts w:hint="eastAsia" w:cs="仿宋_GB2312"/>
          <w:color w:val="auto"/>
          <w:spacing w:val="3"/>
          <w:sz w:val="32"/>
          <w:szCs w:val="32"/>
          <w:highlight w:val="none"/>
          <w:lang w:val="zh-CN" w:eastAsia="zh-CN" w:bidi="zh-CN"/>
        </w:rPr>
        <w:t>分别</w:t>
      </w:r>
      <w:r>
        <w:rPr>
          <w:rFonts w:ascii="仿宋_GB2312" w:hAnsi="仿宋_GB2312" w:eastAsia="仿宋_GB2312" w:cs="仿宋_GB2312"/>
          <w:color w:val="auto"/>
          <w:spacing w:val="3"/>
          <w:sz w:val="32"/>
          <w:szCs w:val="32"/>
          <w:highlight w:val="none"/>
          <w:lang w:val="zh-CN" w:eastAsia="zh-CN" w:bidi="zh-CN"/>
        </w:rPr>
        <w:t>提高5</w:t>
      </w:r>
      <w:r>
        <w:rPr>
          <w:rFonts w:hint="eastAsia" w:cs="仿宋_GB2312"/>
          <w:color w:val="auto"/>
          <w:spacing w:val="3"/>
          <w:sz w:val="32"/>
          <w:szCs w:val="32"/>
          <w:highlight w:val="none"/>
          <w:lang w:val="en-US" w:eastAsia="zh-CN" w:bidi="zh-CN"/>
        </w:rPr>
        <w:t>-</w:t>
      </w:r>
      <w:r>
        <w:rPr>
          <w:rFonts w:ascii="仿宋_GB2312" w:hAnsi="仿宋_GB2312" w:eastAsia="仿宋_GB2312" w:cs="仿宋_GB2312"/>
          <w:color w:val="auto"/>
          <w:spacing w:val="3"/>
          <w:sz w:val="32"/>
          <w:szCs w:val="32"/>
          <w:highlight w:val="none"/>
          <w:lang w:val="zh-CN" w:eastAsia="zh-CN" w:bidi="zh-CN"/>
        </w:rPr>
        <w:t>10个百分点</w:t>
      </w:r>
      <w:r>
        <w:rPr>
          <w:rFonts w:hint="eastAsia" w:cs="仿宋_GB2312"/>
          <w:color w:val="auto"/>
          <w:spacing w:val="3"/>
          <w:sz w:val="32"/>
          <w:szCs w:val="32"/>
          <w:highlight w:val="none"/>
          <w:lang w:val="zh-CN" w:eastAsia="zh-CN" w:bidi="zh-CN"/>
        </w:rPr>
        <w:t>；</w:t>
      </w:r>
      <w:r>
        <w:rPr>
          <w:rFonts w:ascii="仿宋_GB2312" w:hAnsi="仿宋_GB2312" w:eastAsia="仿宋_GB2312" w:cs="仿宋_GB2312"/>
          <w:color w:val="auto"/>
          <w:spacing w:val="3"/>
          <w:sz w:val="32"/>
          <w:szCs w:val="32"/>
          <w:highlight w:val="none"/>
          <w:lang w:val="zh-CN" w:eastAsia="zh-CN" w:bidi="zh-CN"/>
        </w:rPr>
        <w:t>城乡居民医保参保人员在基层医疗卫生机构医疗的，报销比例较其他定点医疗机构</w:t>
      </w:r>
      <w:r>
        <w:rPr>
          <w:rFonts w:hint="eastAsia" w:cs="仿宋_GB2312"/>
          <w:color w:val="auto"/>
          <w:spacing w:val="3"/>
          <w:sz w:val="32"/>
          <w:szCs w:val="32"/>
          <w:highlight w:val="none"/>
          <w:lang w:val="zh-CN" w:eastAsia="zh-CN" w:bidi="zh-CN"/>
        </w:rPr>
        <w:t>分别</w:t>
      </w:r>
      <w:r>
        <w:rPr>
          <w:rFonts w:ascii="仿宋_GB2312" w:hAnsi="仿宋_GB2312" w:eastAsia="仿宋_GB2312" w:cs="仿宋_GB2312"/>
          <w:color w:val="auto"/>
          <w:spacing w:val="3"/>
          <w:sz w:val="32"/>
          <w:szCs w:val="32"/>
          <w:highlight w:val="none"/>
          <w:lang w:val="zh-CN" w:eastAsia="zh-CN" w:bidi="zh-CN"/>
        </w:rPr>
        <w:t>提高10</w:t>
      </w:r>
      <w:r>
        <w:rPr>
          <w:rFonts w:hint="eastAsia" w:cs="仿宋_GB2312"/>
          <w:color w:val="auto"/>
          <w:spacing w:val="3"/>
          <w:sz w:val="32"/>
          <w:szCs w:val="32"/>
          <w:highlight w:val="none"/>
          <w:lang w:val="en-US" w:eastAsia="zh-CN" w:bidi="zh-CN"/>
        </w:rPr>
        <w:t>-</w:t>
      </w:r>
      <w:r>
        <w:rPr>
          <w:rFonts w:ascii="仿宋_GB2312" w:hAnsi="仿宋_GB2312" w:eastAsia="仿宋_GB2312" w:cs="仿宋_GB2312"/>
          <w:color w:val="auto"/>
          <w:spacing w:val="3"/>
          <w:sz w:val="32"/>
          <w:szCs w:val="32"/>
          <w:highlight w:val="none"/>
          <w:lang w:val="zh-CN" w:eastAsia="zh-CN" w:bidi="zh-CN"/>
        </w:rPr>
        <w:t>35个百分点</w:t>
      </w:r>
      <w:r>
        <w:rPr>
          <w:rFonts w:hint="eastAsia" w:cs="仿宋_GB2312"/>
          <w:color w:val="auto"/>
          <w:spacing w:val="3"/>
          <w:sz w:val="32"/>
          <w:szCs w:val="32"/>
          <w:highlight w:val="none"/>
          <w:lang w:val="zh-CN" w:eastAsia="zh-CN" w:bidi="zh-CN"/>
        </w:rPr>
        <w:t>；</w:t>
      </w:r>
      <w:r>
        <w:rPr>
          <w:rFonts w:ascii="仿宋_GB2312" w:hAnsi="仿宋_GB2312" w:eastAsia="仿宋_GB2312" w:cs="仿宋_GB2312"/>
          <w:color w:val="auto"/>
          <w:spacing w:val="3"/>
          <w:sz w:val="32"/>
          <w:szCs w:val="32"/>
          <w:highlight w:val="none"/>
          <w:lang w:val="zh-CN" w:eastAsia="zh-CN" w:bidi="zh-CN"/>
        </w:rPr>
        <w:t>城乡居民医保参保人员患高血压、糖尿病等12种慢性病的，在基层医疗卫生机构医疗的，报销比例较其他二级定点医疗机构</w:t>
      </w:r>
      <w:r>
        <w:rPr>
          <w:rFonts w:hint="eastAsia" w:cs="仿宋_GB2312"/>
          <w:color w:val="auto"/>
          <w:spacing w:val="3"/>
          <w:sz w:val="32"/>
          <w:szCs w:val="32"/>
          <w:highlight w:val="none"/>
          <w:lang w:val="zh-CN" w:eastAsia="zh-CN" w:bidi="zh-CN"/>
        </w:rPr>
        <w:t>再</w:t>
      </w:r>
      <w:r>
        <w:rPr>
          <w:rFonts w:ascii="仿宋_GB2312" w:hAnsi="仿宋_GB2312" w:eastAsia="仿宋_GB2312" w:cs="仿宋_GB2312"/>
          <w:color w:val="auto"/>
          <w:spacing w:val="3"/>
          <w:sz w:val="32"/>
          <w:szCs w:val="32"/>
          <w:highlight w:val="none"/>
          <w:lang w:val="zh-CN" w:eastAsia="zh-CN" w:bidi="zh-CN"/>
        </w:rPr>
        <w:t>提高10</w:t>
      </w:r>
      <w:r>
        <w:rPr>
          <w:rFonts w:hint="eastAsia" w:ascii="仿宋_GB2312" w:hAnsi="仿宋_GB2312" w:eastAsia="仿宋_GB2312" w:cs="仿宋_GB2312"/>
          <w:color w:val="auto"/>
          <w:spacing w:val="3"/>
          <w:sz w:val="32"/>
          <w:szCs w:val="32"/>
          <w:highlight w:val="none"/>
          <w:lang w:val="en-US" w:eastAsia="zh-CN" w:bidi="zh-CN"/>
        </w:rPr>
        <w:t>-45</w:t>
      </w:r>
      <w:r>
        <w:rPr>
          <w:rFonts w:ascii="仿宋_GB2312" w:hAnsi="仿宋_GB2312" w:eastAsia="仿宋_GB2312" w:cs="仿宋_GB2312"/>
          <w:color w:val="auto"/>
          <w:spacing w:val="3"/>
          <w:sz w:val="32"/>
          <w:szCs w:val="32"/>
          <w:highlight w:val="none"/>
          <w:lang w:val="zh-CN" w:eastAsia="zh-CN" w:bidi="zh-CN"/>
        </w:rPr>
        <w:t>个百分点</w:t>
      </w:r>
      <w:r>
        <w:rPr>
          <w:rFonts w:hint="eastAsia" w:cs="仿宋_GB2312"/>
          <w:color w:val="auto"/>
          <w:spacing w:val="3"/>
          <w:sz w:val="32"/>
          <w:szCs w:val="32"/>
          <w:highlight w:val="none"/>
          <w:lang w:val="zh-CN" w:eastAsia="zh-CN" w:bidi="zh-CN"/>
        </w:rPr>
        <w:t>；</w:t>
      </w:r>
      <w:r>
        <w:rPr>
          <w:rFonts w:ascii="仿宋_GB2312" w:hAnsi="仿宋_GB2312" w:eastAsia="仿宋_GB2312" w:cs="仿宋_GB2312"/>
          <w:color w:val="auto"/>
          <w:spacing w:val="3"/>
          <w:sz w:val="32"/>
          <w:szCs w:val="32"/>
          <w:highlight w:val="none"/>
          <w:lang w:val="zh-CN" w:eastAsia="zh-CN" w:bidi="zh-CN"/>
        </w:rPr>
        <w:t>参保人员普通门诊经基层医疗卫生机构首诊，在7日内转诊到当地其他定点医疗机构的，报销比例在原基础上提高5个百分点。住院期间按分级诊疗要求从上级医院转到基层医疗卫生机构住院的，起付标准不再另行计算。在医共体</w:t>
      </w:r>
      <w:r>
        <w:rPr>
          <w:rFonts w:hint="eastAsia" w:cs="仿宋_GB2312"/>
          <w:color w:val="auto"/>
          <w:spacing w:val="3"/>
          <w:sz w:val="32"/>
          <w:szCs w:val="32"/>
          <w:highlight w:val="none"/>
          <w:lang w:val="zh-CN" w:eastAsia="zh-CN" w:bidi="zh-CN"/>
        </w:rPr>
        <w:t>医保经费</w:t>
      </w:r>
      <w:r>
        <w:rPr>
          <w:rFonts w:ascii="仿宋_GB2312" w:hAnsi="仿宋_GB2312" w:eastAsia="仿宋_GB2312" w:cs="仿宋_GB2312"/>
          <w:color w:val="auto"/>
          <w:spacing w:val="3"/>
          <w:sz w:val="32"/>
          <w:szCs w:val="32"/>
          <w:highlight w:val="none"/>
          <w:lang w:val="zh-CN" w:eastAsia="zh-CN" w:bidi="zh-CN"/>
        </w:rPr>
        <w:t>总额预算内，分院门诊均次费用</w:t>
      </w:r>
      <w:r>
        <w:rPr>
          <w:rFonts w:hint="eastAsia" w:cs="仿宋_GB2312"/>
          <w:color w:val="auto"/>
          <w:spacing w:val="3"/>
          <w:sz w:val="32"/>
          <w:szCs w:val="32"/>
          <w:highlight w:val="none"/>
          <w:lang w:val="zh-CN" w:eastAsia="zh-CN" w:bidi="zh-CN"/>
        </w:rPr>
        <w:t>在不突破合理增长</w:t>
      </w:r>
      <w:r>
        <w:rPr>
          <w:rFonts w:ascii="仿宋_GB2312" w:hAnsi="仿宋_GB2312" w:eastAsia="仿宋_GB2312" w:cs="仿宋_GB2312"/>
          <w:color w:val="auto"/>
          <w:spacing w:val="3"/>
          <w:sz w:val="32"/>
          <w:szCs w:val="32"/>
          <w:highlight w:val="none"/>
          <w:lang w:val="zh-CN" w:eastAsia="zh-CN" w:bidi="zh-CN"/>
        </w:rPr>
        <w:t>前提下，不对基层门诊进行医保总额控费，进一步推动分级诊疗和基层首诊政策落地。在医保总额控制范围内，按照5%的比例提取预留金，用于支持基层医疗卫生机构开展新技术、新项目等。（责</w:t>
      </w:r>
      <w:r>
        <w:rPr>
          <w:rFonts w:ascii="仿宋_GB2312" w:hAnsi="仿宋_GB2312" w:eastAsia="仿宋_GB2312" w:cs="仿宋_GB2312"/>
          <w:color w:val="000000" w:themeColor="text1"/>
          <w:spacing w:val="3"/>
          <w:sz w:val="32"/>
          <w:szCs w:val="32"/>
          <w:highlight w:val="none"/>
          <w:lang w:val="zh-CN" w:eastAsia="zh-CN" w:bidi="zh-CN"/>
        </w:rPr>
        <w:t>任单位：</w:t>
      </w:r>
      <w:r>
        <w:rPr>
          <w:rFonts w:hint="eastAsia" w:ascii="仿宋_GB2312" w:hAnsi="仿宋_GB2312" w:eastAsia="仿宋_GB2312" w:cs="仿宋_GB2312"/>
          <w:color w:val="000000" w:themeColor="text1"/>
          <w:spacing w:val="3"/>
          <w:sz w:val="32"/>
          <w:szCs w:val="32"/>
          <w:highlight w:val="none"/>
          <w:lang w:val="zh-CN" w:eastAsia="zh-CN" w:bidi="zh-CN"/>
        </w:rPr>
        <w:t>县</w:t>
      </w:r>
      <w:r>
        <w:rPr>
          <w:rFonts w:ascii="仿宋_GB2312" w:hAnsi="仿宋_GB2312" w:eastAsia="仿宋_GB2312" w:cs="仿宋_GB2312"/>
          <w:color w:val="000000" w:themeColor="text1"/>
          <w:spacing w:val="3"/>
          <w:sz w:val="32"/>
          <w:szCs w:val="32"/>
          <w:highlight w:val="none"/>
          <w:lang w:val="zh-CN" w:eastAsia="zh-CN" w:bidi="zh-CN"/>
        </w:rPr>
        <w:t>医疗保障局、</w:t>
      </w:r>
      <w:r>
        <w:rPr>
          <w:rFonts w:hint="eastAsia" w:cs="仿宋_GB2312"/>
          <w:color w:val="000000" w:themeColor="text1"/>
          <w:spacing w:val="3"/>
          <w:sz w:val="32"/>
          <w:szCs w:val="32"/>
          <w:highlight w:val="none"/>
          <w:lang w:val="zh-CN" w:eastAsia="zh-CN" w:bidi="zh-CN"/>
        </w:rPr>
        <w:t>县</w:t>
      </w:r>
      <w:r>
        <w:rPr>
          <w:rFonts w:ascii="仿宋_GB2312" w:hAnsi="仿宋_GB2312" w:eastAsia="仿宋_GB2312" w:cs="仿宋_GB2312"/>
          <w:color w:val="000000" w:themeColor="text1"/>
          <w:spacing w:val="3"/>
          <w:sz w:val="32"/>
          <w:szCs w:val="32"/>
          <w:highlight w:val="none"/>
          <w:lang w:val="zh-CN" w:eastAsia="zh-CN" w:bidi="zh-CN"/>
        </w:rPr>
        <w:t>财政局、</w:t>
      </w:r>
      <w:r>
        <w:rPr>
          <w:rFonts w:hint="eastAsia" w:cs="仿宋_GB2312"/>
          <w:color w:val="000000" w:themeColor="text1"/>
          <w:spacing w:val="3"/>
          <w:sz w:val="32"/>
          <w:szCs w:val="32"/>
          <w:highlight w:val="none"/>
          <w:lang w:val="zh-CN" w:eastAsia="zh-CN" w:bidi="zh-CN"/>
        </w:rPr>
        <w:t>县</w:t>
      </w:r>
      <w:r>
        <w:rPr>
          <w:rFonts w:ascii="仿宋_GB2312" w:hAnsi="仿宋_GB2312" w:eastAsia="仿宋_GB2312" w:cs="仿宋_GB2312"/>
          <w:color w:val="000000" w:themeColor="text1"/>
          <w:spacing w:val="3"/>
          <w:sz w:val="32"/>
          <w:szCs w:val="32"/>
          <w:highlight w:val="none"/>
          <w:lang w:val="zh-CN" w:eastAsia="zh-CN" w:bidi="zh-CN"/>
        </w:rPr>
        <w:t>卫生健康</w:t>
      </w:r>
      <w:r>
        <w:rPr>
          <w:rFonts w:hint="eastAsia" w:cs="仿宋_GB2312"/>
          <w:color w:val="000000" w:themeColor="text1"/>
          <w:spacing w:val="3"/>
          <w:sz w:val="32"/>
          <w:szCs w:val="32"/>
          <w:highlight w:val="none"/>
          <w:lang w:val="zh-CN" w:eastAsia="zh-CN" w:bidi="zh-CN"/>
        </w:rPr>
        <w:t>局</w:t>
      </w:r>
      <w:r>
        <w:rPr>
          <w:rFonts w:ascii="仿宋_GB2312" w:hAnsi="仿宋_GB2312" w:eastAsia="仿宋_GB2312" w:cs="仿宋_GB2312"/>
          <w:color w:val="000000" w:themeColor="text1"/>
          <w:spacing w:val="3"/>
          <w:sz w:val="32"/>
          <w:szCs w:val="32"/>
          <w:highlight w:val="none"/>
          <w:lang w:val="zh-CN" w:eastAsia="zh-CN" w:bidi="zh-CN"/>
        </w:rPr>
        <w:t>）</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1" w:rightChars="0" w:firstLine="652" w:firstLineChars="200"/>
        <w:jc w:val="both"/>
        <w:textAlignment w:val="auto"/>
        <w:rPr>
          <w:rFonts w:hint="eastAsia" w:cs="仿宋_GB2312"/>
          <w:color w:val="auto"/>
          <w:spacing w:val="3"/>
          <w:sz w:val="32"/>
          <w:szCs w:val="32"/>
          <w:highlight w:val="none"/>
          <w:u w:val="none"/>
          <w:lang w:val="en-US" w:eastAsia="zh-CN" w:bidi="zh-CN"/>
        </w:rPr>
      </w:pPr>
      <w:r>
        <w:rPr>
          <w:rFonts w:hint="eastAsia" w:cs="仿宋_GB2312"/>
          <w:color w:val="000000" w:themeColor="text1"/>
          <w:spacing w:val="3"/>
          <w:sz w:val="32"/>
          <w:szCs w:val="32"/>
          <w:highlight w:val="none"/>
          <w:lang w:val="en-US" w:eastAsia="zh-CN" w:bidi="zh-CN"/>
        </w:rPr>
        <w:t>3.深化</w:t>
      </w:r>
      <w:r>
        <w:rPr>
          <w:rFonts w:ascii="仿宋_GB2312" w:hAnsi="仿宋_GB2312" w:eastAsia="仿宋_GB2312" w:cs="仿宋_GB2312"/>
          <w:color w:val="000000" w:themeColor="text1"/>
          <w:spacing w:val="3"/>
          <w:sz w:val="32"/>
          <w:szCs w:val="32"/>
          <w:highlight w:val="none"/>
          <w:lang w:val="zh-CN" w:eastAsia="zh-CN" w:bidi="zh-CN"/>
        </w:rPr>
        <w:t>薪酬激励机制。严格落实基层医疗卫生机构财政保障机制，允许基层医疗卫生</w:t>
      </w:r>
      <w:r>
        <w:rPr>
          <w:rFonts w:ascii="仿宋_GB2312" w:hAnsi="仿宋_GB2312" w:eastAsia="仿宋_GB2312" w:cs="仿宋_GB2312"/>
          <w:color w:val="auto"/>
          <w:spacing w:val="3"/>
          <w:sz w:val="32"/>
          <w:szCs w:val="32"/>
          <w:highlight w:val="none"/>
          <w:lang w:val="zh-CN" w:eastAsia="zh-CN" w:bidi="zh-CN"/>
        </w:rPr>
        <w:t>机构突破现行事业单位工资调控水平，落实内部分配自主权，在奖励性绩效工资占比绩效总额不低于60%的前提下</w:t>
      </w:r>
      <w:r>
        <w:rPr>
          <w:rFonts w:ascii="仿宋_GB2312" w:hAnsi="仿宋_GB2312" w:eastAsia="仿宋_GB2312" w:cs="仿宋_GB2312"/>
          <w:color w:val="auto"/>
          <w:spacing w:val="3"/>
          <w:sz w:val="32"/>
          <w:szCs w:val="32"/>
          <w:highlight w:val="none"/>
          <w:u w:val="none"/>
          <w:lang w:val="zh-CN" w:eastAsia="zh-CN" w:bidi="zh-CN"/>
        </w:rPr>
        <w:t>，自主确定基础性绩效工资和奖励性绩效工资比例。</w:t>
      </w:r>
      <w:r>
        <w:rPr>
          <w:rFonts w:hint="eastAsia" w:cs="仿宋_GB2312"/>
          <w:color w:val="auto"/>
          <w:spacing w:val="3"/>
          <w:sz w:val="32"/>
          <w:szCs w:val="32"/>
          <w:highlight w:val="none"/>
          <w:u w:val="none"/>
          <w:lang w:val="zh-CN" w:eastAsia="zh-CN" w:bidi="zh-CN"/>
        </w:rPr>
        <w:t>基层医疗机构要</w:t>
      </w:r>
      <w:r>
        <w:rPr>
          <w:rFonts w:ascii="仿宋_GB2312" w:hAnsi="仿宋_GB2312" w:eastAsia="仿宋_GB2312" w:cs="仿宋_GB2312"/>
          <w:color w:val="auto"/>
          <w:spacing w:val="3"/>
          <w:sz w:val="32"/>
          <w:szCs w:val="32"/>
          <w:highlight w:val="none"/>
          <w:u w:val="none"/>
          <w:lang w:val="zh-CN" w:eastAsia="zh-CN" w:bidi="zh-CN"/>
        </w:rPr>
        <w:t>建</w:t>
      </w:r>
      <w:r>
        <w:rPr>
          <w:rFonts w:ascii="仿宋_GB2312" w:hAnsi="仿宋_GB2312" w:eastAsia="仿宋_GB2312" w:cs="仿宋_GB2312"/>
          <w:color w:val="auto"/>
          <w:spacing w:val="3"/>
          <w:sz w:val="32"/>
          <w:szCs w:val="32"/>
          <w:highlight w:val="none"/>
          <w:lang w:val="zh-CN" w:eastAsia="zh-CN" w:bidi="zh-CN"/>
        </w:rPr>
        <w:t>立以工作当量和绩效考核为主要依据的内部分配制度,突出价值导向、业绩导向，多劳多得、同工同酬、优绩优酬。</w:t>
      </w:r>
      <w:r>
        <w:rPr>
          <w:rFonts w:ascii="仿宋_GB2312" w:hAnsi="仿宋_GB2312" w:eastAsia="仿宋_GB2312" w:cs="仿宋_GB2312"/>
          <w:color w:val="auto"/>
          <w:spacing w:val="3"/>
          <w:sz w:val="32"/>
          <w:szCs w:val="32"/>
          <w:highlight w:val="none"/>
          <w:u w:val="none"/>
          <w:lang w:val="zh-CN" w:eastAsia="zh-CN" w:bidi="zh-CN"/>
        </w:rPr>
        <w:t>基层医疗卫生机构在当年医疗服务收入扣除成本和提取各项基金后主要用于人员奖励性绩效工资，根据“两个允许”要求合理增加薪酬总量，不计入总量核定基数。家庭医生签约服务费、公共卫生医生防疫补贴和基层全科医生岗位考核奖不纳入绩效工资总量。</w:t>
      </w:r>
      <w:r>
        <w:rPr>
          <w:rFonts w:ascii="仿宋_GB2312" w:hAnsi="仿宋_GB2312" w:eastAsia="仿宋_GB2312" w:cs="仿宋_GB2312"/>
          <w:color w:val="000000" w:themeColor="text1"/>
          <w:spacing w:val="3"/>
          <w:sz w:val="32"/>
          <w:szCs w:val="32"/>
          <w:highlight w:val="none"/>
          <w:u w:val="none"/>
          <w:lang w:val="zh-CN" w:eastAsia="zh-CN" w:bidi="zh-CN"/>
        </w:rPr>
        <w:t>建立基层绩效工资总量调控机制，</w:t>
      </w:r>
      <w:r>
        <w:rPr>
          <w:rFonts w:hint="eastAsia" w:cs="仿宋_GB2312"/>
          <w:color w:val="000000" w:themeColor="text1"/>
          <w:spacing w:val="3"/>
          <w:sz w:val="32"/>
          <w:szCs w:val="32"/>
          <w:highlight w:val="none"/>
          <w:u w:val="none"/>
          <w:lang w:val="zh-CN" w:eastAsia="zh-CN" w:bidi="zh-CN"/>
        </w:rPr>
        <w:t>允许将基层医疗卫生机构收支结余（不含财政专项补助）的</w:t>
      </w:r>
      <w:r>
        <w:rPr>
          <w:rFonts w:hint="eastAsia" w:cs="仿宋_GB2312"/>
          <w:color w:val="000000" w:themeColor="text1"/>
          <w:spacing w:val="3"/>
          <w:sz w:val="32"/>
          <w:szCs w:val="32"/>
          <w:highlight w:val="none"/>
          <w:u w:val="none"/>
          <w:lang w:val="en-US" w:eastAsia="zh-CN" w:bidi="zh-CN"/>
        </w:rPr>
        <w:t>40-60%根据综合考核结果进行再分配。</w:t>
      </w:r>
      <w:r>
        <w:rPr>
          <w:rFonts w:hint="eastAsia" w:cs="仿宋_GB2312"/>
          <w:color w:val="000000" w:themeColor="text1"/>
          <w:spacing w:val="3"/>
          <w:sz w:val="32"/>
          <w:szCs w:val="32"/>
          <w:highlight w:val="none"/>
          <w:u w:val="none"/>
          <w:lang w:val="zh-CN" w:eastAsia="zh-CN" w:bidi="zh-CN"/>
        </w:rPr>
        <w:t>基层医疗卫生单位在编在岗人员的</w:t>
      </w:r>
      <w:r>
        <w:rPr>
          <w:rFonts w:hint="eastAsia" w:cs="仿宋_GB2312"/>
          <w:color w:val="000000" w:themeColor="text1"/>
          <w:spacing w:val="3"/>
          <w:sz w:val="32"/>
          <w:szCs w:val="32"/>
          <w:highlight w:val="none"/>
          <w:u w:val="none"/>
          <w:lang w:val="en-US" w:eastAsia="zh-CN" w:bidi="zh-CN"/>
        </w:rPr>
        <w:t>年终绩效考核奖，在原来的基础上增加3000元，</w:t>
      </w:r>
      <w:r>
        <w:rPr>
          <w:rFonts w:hint="eastAsia" w:ascii="仿宋_GB2312" w:hAnsi="仿宋_GB2312" w:eastAsia="仿宋_GB2312" w:cs="仿宋_GB2312"/>
          <w:color w:val="auto"/>
          <w:spacing w:val="3"/>
          <w:sz w:val="32"/>
          <w:szCs w:val="32"/>
          <w:highlight w:val="none"/>
          <w:u w:val="none"/>
          <w:lang w:val="en-US" w:eastAsia="zh-CN" w:bidi="zh-CN"/>
        </w:rPr>
        <w:t>按照岗位考核结果在单位内部实行绩效分配。</w:t>
      </w:r>
      <w:r>
        <w:rPr>
          <w:rFonts w:hint="eastAsia" w:cs="仿宋_GB2312"/>
          <w:color w:val="auto"/>
          <w:spacing w:val="3"/>
          <w:sz w:val="32"/>
          <w:szCs w:val="32"/>
          <w:highlight w:val="none"/>
          <w:u w:val="none"/>
          <w:lang w:val="en-US" w:eastAsia="zh-CN" w:bidi="zh-CN"/>
        </w:rPr>
        <w:t>探索实施基层医疗卫生机构院长（主任）年薪制，实施目标管理责任制，院长（主任）年薪在单位绩效工资总量外单列核定。实施综合改革后的人均薪酬水平总量原则上不低于本单位改革前上年度水平。（责任单位：县人力社保局、县财政局、县卫生健康局）</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ascii="仿宋_GB2312" w:hAnsi="仿宋_GB2312" w:eastAsia="仿宋_GB2312" w:cs="仿宋_GB2312"/>
          <w:color w:val="auto"/>
          <w:spacing w:val="3"/>
          <w:sz w:val="32"/>
          <w:szCs w:val="32"/>
          <w:highlight w:val="none"/>
          <w:lang w:val="zh-CN" w:eastAsia="zh-CN" w:bidi="zh-CN"/>
        </w:rPr>
      </w:pPr>
      <w:r>
        <w:rPr>
          <w:rFonts w:hint="eastAsia" w:cs="仿宋_GB2312"/>
          <w:color w:val="auto"/>
          <w:spacing w:val="3"/>
          <w:sz w:val="32"/>
          <w:szCs w:val="32"/>
          <w:highlight w:val="none"/>
          <w:lang w:val="en-US" w:eastAsia="zh-CN" w:bidi="zh-CN"/>
        </w:rPr>
        <w:t>4.</w:t>
      </w:r>
      <w:r>
        <w:rPr>
          <w:rFonts w:ascii="仿宋_GB2312" w:hAnsi="仿宋_GB2312" w:eastAsia="仿宋_GB2312" w:cs="仿宋_GB2312"/>
          <w:color w:val="auto"/>
          <w:spacing w:val="3"/>
          <w:sz w:val="32"/>
          <w:szCs w:val="32"/>
          <w:highlight w:val="none"/>
          <w:lang w:val="zh-CN" w:eastAsia="zh-CN" w:bidi="zh-CN"/>
        </w:rPr>
        <w:t>建立风险分担机制。加强医疗风险管理，全面建立医疗风险分担机制。推动基层医疗卫生机构投保医疗责任和意外伤害保险。</w:t>
      </w:r>
      <w:r>
        <w:rPr>
          <w:rFonts w:hint="eastAsia" w:cs="仿宋_GB2312"/>
          <w:color w:val="auto"/>
          <w:spacing w:val="3"/>
          <w:sz w:val="32"/>
          <w:szCs w:val="32"/>
          <w:highlight w:val="none"/>
          <w:lang w:val="zh-CN" w:eastAsia="zh-CN" w:bidi="zh-CN"/>
        </w:rPr>
        <w:t>支持</w:t>
      </w:r>
      <w:r>
        <w:rPr>
          <w:rFonts w:ascii="仿宋_GB2312" w:hAnsi="仿宋_GB2312" w:eastAsia="仿宋_GB2312" w:cs="仿宋_GB2312"/>
          <w:color w:val="auto"/>
          <w:spacing w:val="3"/>
          <w:sz w:val="32"/>
          <w:szCs w:val="32"/>
          <w:highlight w:val="none"/>
          <w:lang w:val="zh-CN" w:eastAsia="zh-CN" w:bidi="zh-CN"/>
        </w:rPr>
        <w:t>卫生健康行政部门建立医疗风险基金，设立医疗风险基金账户，用于医疗纠纷和医疗事故赔偿，所需资金由医疗卫生机构承担，村卫生室分担部分从基本运行经费中列支。严厉打击暴力伤医等涉医违法犯罪行为，维护医务人员合法权益。（责任单位：</w:t>
      </w:r>
      <w:r>
        <w:rPr>
          <w:rFonts w:hint="eastAsia" w:cs="仿宋_GB2312"/>
          <w:color w:val="auto"/>
          <w:spacing w:val="3"/>
          <w:sz w:val="32"/>
          <w:szCs w:val="32"/>
          <w:highlight w:val="none"/>
          <w:lang w:val="zh-CN" w:eastAsia="zh-CN" w:bidi="zh-CN"/>
        </w:rPr>
        <w:t>县</w:t>
      </w:r>
      <w:r>
        <w:rPr>
          <w:rFonts w:ascii="仿宋_GB2312" w:hAnsi="仿宋_GB2312" w:eastAsia="仿宋_GB2312" w:cs="仿宋_GB2312"/>
          <w:color w:val="auto"/>
          <w:spacing w:val="3"/>
          <w:sz w:val="32"/>
          <w:szCs w:val="32"/>
          <w:highlight w:val="none"/>
          <w:lang w:val="zh-CN" w:eastAsia="zh-CN" w:bidi="zh-CN"/>
        </w:rPr>
        <w:t>卫生健康</w:t>
      </w:r>
      <w:r>
        <w:rPr>
          <w:rFonts w:hint="eastAsia" w:cs="仿宋_GB2312"/>
          <w:color w:val="auto"/>
          <w:spacing w:val="3"/>
          <w:sz w:val="32"/>
          <w:szCs w:val="32"/>
          <w:highlight w:val="none"/>
          <w:lang w:val="zh-CN" w:eastAsia="zh-CN" w:bidi="zh-CN"/>
        </w:rPr>
        <w:t>局</w:t>
      </w:r>
      <w:r>
        <w:rPr>
          <w:rFonts w:ascii="仿宋_GB2312" w:hAnsi="仿宋_GB2312" w:eastAsia="仿宋_GB2312" w:cs="仿宋_GB2312"/>
          <w:color w:val="auto"/>
          <w:spacing w:val="3"/>
          <w:sz w:val="32"/>
          <w:szCs w:val="32"/>
          <w:highlight w:val="none"/>
          <w:lang w:val="zh-CN" w:eastAsia="zh-CN" w:bidi="zh-CN"/>
        </w:rPr>
        <w:t>、</w:t>
      </w:r>
      <w:r>
        <w:rPr>
          <w:rFonts w:hint="eastAsia" w:cs="仿宋_GB2312"/>
          <w:color w:val="auto"/>
          <w:spacing w:val="3"/>
          <w:sz w:val="32"/>
          <w:szCs w:val="32"/>
          <w:highlight w:val="none"/>
          <w:lang w:val="zh-CN" w:eastAsia="zh-CN" w:bidi="zh-CN"/>
        </w:rPr>
        <w:t>县</w:t>
      </w:r>
      <w:r>
        <w:rPr>
          <w:rFonts w:ascii="仿宋_GB2312" w:hAnsi="仿宋_GB2312" w:eastAsia="仿宋_GB2312" w:cs="仿宋_GB2312"/>
          <w:color w:val="auto"/>
          <w:spacing w:val="3"/>
          <w:sz w:val="32"/>
          <w:szCs w:val="32"/>
          <w:highlight w:val="none"/>
          <w:lang w:val="zh-CN" w:eastAsia="zh-CN" w:bidi="zh-CN"/>
        </w:rPr>
        <w:t>财政局</w:t>
      </w:r>
      <w:r>
        <w:rPr>
          <w:rFonts w:hint="eastAsia" w:cs="仿宋_GB2312"/>
          <w:color w:val="auto"/>
          <w:spacing w:val="3"/>
          <w:sz w:val="32"/>
          <w:szCs w:val="32"/>
          <w:highlight w:val="none"/>
          <w:lang w:val="zh-CN" w:eastAsia="zh-CN" w:bidi="zh-CN"/>
        </w:rPr>
        <w:t>、县公安局、各乡镇街道</w:t>
      </w:r>
      <w:r>
        <w:rPr>
          <w:rFonts w:ascii="仿宋_GB2312" w:hAnsi="仿宋_GB2312" w:eastAsia="仿宋_GB2312" w:cs="仿宋_GB2312"/>
          <w:color w:val="auto"/>
          <w:spacing w:val="3"/>
          <w:sz w:val="32"/>
          <w:szCs w:val="32"/>
          <w:highlight w:val="none"/>
          <w:lang w:val="zh-CN" w:eastAsia="zh-CN" w:bidi="zh-CN"/>
        </w:rPr>
        <w:t>）</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hint="eastAsia" w:ascii="黑体" w:hAnsi="黑体" w:eastAsia="黑体" w:cs="黑体"/>
          <w:color w:val="auto"/>
          <w:spacing w:val="3"/>
          <w:sz w:val="32"/>
          <w:szCs w:val="32"/>
          <w:highlight w:val="none"/>
          <w:lang w:val="zh-CN" w:eastAsia="zh-CN" w:bidi="zh-CN"/>
        </w:rPr>
      </w:pPr>
      <w:r>
        <w:rPr>
          <w:rFonts w:hint="eastAsia" w:ascii="黑体" w:hAnsi="黑体" w:eastAsia="黑体" w:cs="黑体"/>
          <w:color w:val="auto"/>
          <w:spacing w:val="3"/>
          <w:sz w:val="32"/>
          <w:szCs w:val="32"/>
          <w:highlight w:val="none"/>
          <w:lang w:val="zh-CN" w:eastAsia="zh-CN" w:bidi="zh-CN"/>
        </w:rPr>
        <w:t>三、实施步骤</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hint="eastAsia" w:ascii="仿宋_GB2312" w:hAnsi="仿宋_GB2312" w:eastAsia="仿宋_GB2312" w:cs="仿宋_GB2312"/>
          <w:color w:val="auto"/>
          <w:spacing w:val="3"/>
          <w:sz w:val="32"/>
          <w:szCs w:val="32"/>
          <w:highlight w:val="none"/>
          <w:lang w:val="zh-CN" w:eastAsia="zh-CN" w:bidi="zh-CN"/>
        </w:rPr>
      </w:pPr>
      <w:r>
        <w:rPr>
          <w:rFonts w:hint="eastAsia" w:ascii="楷体" w:hAnsi="楷体" w:eastAsia="楷体" w:cs="楷体"/>
          <w:color w:val="auto"/>
          <w:spacing w:val="3"/>
          <w:sz w:val="32"/>
          <w:szCs w:val="32"/>
          <w:highlight w:val="none"/>
          <w:lang w:val="zh-CN" w:eastAsia="zh-CN" w:bidi="zh-CN"/>
        </w:rPr>
        <w:t>（一）启动阶段（2022年3月—2022年</w:t>
      </w:r>
      <w:r>
        <w:rPr>
          <w:rFonts w:hint="eastAsia" w:ascii="楷体" w:hAnsi="楷体" w:eastAsia="楷体" w:cs="楷体"/>
          <w:color w:val="auto"/>
          <w:spacing w:val="3"/>
          <w:sz w:val="32"/>
          <w:szCs w:val="32"/>
          <w:highlight w:val="none"/>
          <w:lang w:val="en-US" w:eastAsia="zh-CN" w:bidi="zh-CN"/>
        </w:rPr>
        <w:t>8</w:t>
      </w:r>
      <w:r>
        <w:rPr>
          <w:rFonts w:hint="eastAsia" w:ascii="楷体" w:hAnsi="楷体" w:eastAsia="楷体" w:cs="楷体"/>
          <w:color w:val="auto"/>
          <w:spacing w:val="3"/>
          <w:sz w:val="32"/>
          <w:szCs w:val="32"/>
          <w:highlight w:val="none"/>
          <w:lang w:val="zh-CN" w:eastAsia="zh-CN" w:bidi="zh-CN"/>
        </w:rPr>
        <w:t>月）。</w:t>
      </w:r>
      <w:r>
        <w:rPr>
          <w:rFonts w:hint="eastAsia" w:ascii="仿宋_GB2312" w:hAnsi="仿宋_GB2312" w:eastAsia="仿宋_GB2312" w:cs="仿宋_GB2312"/>
          <w:color w:val="auto"/>
          <w:spacing w:val="3"/>
          <w:sz w:val="32"/>
          <w:szCs w:val="32"/>
          <w:highlight w:val="none"/>
          <w:lang w:val="zh-CN" w:eastAsia="zh-CN" w:bidi="zh-CN"/>
        </w:rPr>
        <w:t>按照《绍兴市深化基层卫生健康综合改革实施方案》深入开展调研，制定我</w:t>
      </w:r>
      <w:r>
        <w:rPr>
          <w:rFonts w:hint="eastAsia" w:cs="仿宋_GB2312"/>
          <w:color w:val="auto"/>
          <w:spacing w:val="3"/>
          <w:sz w:val="32"/>
          <w:szCs w:val="32"/>
          <w:highlight w:val="none"/>
          <w:lang w:val="zh-CN" w:eastAsia="zh-CN" w:bidi="zh-CN"/>
        </w:rPr>
        <w:t>县</w:t>
      </w:r>
      <w:r>
        <w:rPr>
          <w:rFonts w:hint="eastAsia" w:ascii="仿宋_GB2312" w:hAnsi="仿宋_GB2312" w:eastAsia="仿宋_GB2312" w:cs="仿宋_GB2312"/>
          <w:color w:val="auto"/>
          <w:spacing w:val="3"/>
          <w:sz w:val="32"/>
          <w:szCs w:val="32"/>
          <w:highlight w:val="none"/>
          <w:lang w:val="zh-CN" w:eastAsia="zh-CN" w:bidi="zh-CN"/>
        </w:rPr>
        <w:t>基层卫生健康综合改革实施方案，明确工作目标，出台相关配套政策。召开工作部署</w:t>
      </w:r>
      <w:r>
        <w:rPr>
          <w:rFonts w:hint="eastAsia" w:cs="仿宋_GB2312"/>
          <w:color w:val="auto"/>
          <w:spacing w:val="3"/>
          <w:sz w:val="32"/>
          <w:szCs w:val="32"/>
          <w:highlight w:val="none"/>
          <w:lang w:val="zh-CN" w:eastAsia="zh-CN" w:bidi="zh-CN"/>
        </w:rPr>
        <w:t>暨动员大会</w:t>
      </w:r>
      <w:r>
        <w:rPr>
          <w:rFonts w:hint="eastAsia" w:ascii="仿宋_GB2312" w:hAnsi="仿宋_GB2312" w:eastAsia="仿宋_GB2312" w:cs="仿宋_GB2312"/>
          <w:color w:val="auto"/>
          <w:spacing w:val="3"/>
          <w:sz w:val="32"/>
          <w:szCs w:val="32"/>
          <w:highlight w:val="none"/>
          <w:lang w:val="zh-CN" w:eastAsia="zh-CN" w:bidi="zh-CN"/>
        </w:rPr>
        <w:t>，启动推进各项工作。</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hint="eastAsia" w:ascii="仿宋_GB2312" w:hAnsi="仿宋_GB2312" w:eastAsia="仿宋_GB2312" w:cs="仿宋_GB2312"/>
          <w:color w:val="auto"/>
          <w:spacing w:val="3"/>
          <w:sz w:val="32"/>
          <w:szCs w:val="32"/>
          <w:highlight w:val="none"/>
          <w:lang w:val="zh-CN" w:eastAsia="zh-CN" w:bidi="zh-CN"/>
        </w:rPr>
      </w:pPr>
      <w:r>
        <w:rPr>
          <w:rFonts w:hint="eastAsia" w:ascii="楷体" w:hAnsi="楷体" w:eastAsia="楷体" w:cs="楷体"/>
          <w:color w:val="auto"/>
          <w:spacing w:val="3"/>
          <w:sz w:val="32"/>
          <w:szCs w:val="32"/>
          <w:highlight w:val="none"/>
          <w:lang w:val="zh-CN" w:eastAsia="zh-CN" w:bidi="zh-CN"/>
        </w:rPr>
        <w:t>（二）实施阶段（2022年</w:t>
      </w:r>
      <w:r>
        <w:rPr>
          <w:rFonts w:hint="eastAsia" w:ascii="楷体" w:hAnsi="楷体" w:eastAsia="楷体" w:cs="楷体"/>
          <w:color w:val="auto"/>
          <w:spacing w:val="3"/>
          <w:sz w:val="32"/>
          <w:szCs w:val="32"/>
          <w:highlight w:val="none"/>
          <w:lang w:val="en-US" w:eastAsia="zh-CN" w:bidi="zh-CN"/>
        </w:rPr>
        <w:t>9</w:t>
      </w:r>
      <w:r>
        <w:rPr>
          <w:rFonts w:hint="eastAsia" w:ascii="楷体" w:hAnsi="楷体" w:eastAsia="楷体" w:cs="楷体"/>
          <w:color w:val="auto"/>
          <w:spacing w:val="3"/>
          <w:sz w:val="32"/>
          <w:szCs w:val="32"/>
          <w:highlight w:val="none"/>
          <w:lang w:val="zh-CN" w:eastAsia="zh-CN" w:bidi="zh-CN"/>
        </w:rPr>
        <w:t>月—2023年12月）。</w:t>
      </w:r>
      <w:r>
        <w:rPr>
          <w:rFonts w:hint="eastAsia" w:ascii="仿宋_GB2312" w:hAnsi="仿宋_GB2312" w:eastAsia="仿宋_GB2312" w:cs="仿宋_GB2312"/>
          <w:color w:val="auto"/>
          <w:spacing w:val="3"/>
          <w:sz w:val="32"/>
          <w:szCs w:val="32"/>
          <w:highlight w:val="none"/>
          <w:lang w:val="zh-CN" w:eastAsia="zh-CN" w:bidi="zh-CN"/>
        </w:rPr>
        <w:t>按照实施方案全面推进基层卫生健康综合改革工作，</w:t>
      </w:r>
      <w:r>
        <w:rPr>
          <w:rFonts w:hint="eastAsia" w:cs="仿宋_GB2312"/>
          <w:color w:val="auto"/>
          <w:spacing w:val="3"/>
          <w:sz w:val="32"/>
          <w:szCs w:val="32"/>
          <w:highlight w:val="none"/>
          <w:lang w:val="zh-CN" w:eastAsia="zh-CN" w:bidi="zh-CN"/>
        </w:rPr>
        <w:t>加强业务指导，按要求上报实施进展情况。</w:t>
      </w:r>
      <w:r>
        <w:rPr>
          <w:rFonts w:hint="eastAsia" w:ascii="仿宋_GB2312" w:hAnsi="仿宋_GB2312" w:eastAsia="仿宋_GB2312" w:cs="仿宋_GB2312"/>
          <w:color w:val="auto"/>
          <w:spacing w:val="3"/>
          <w:sz w:val="32"/>
          <w:szCs w:val="32"/>
          <w:highlight w:val="none"/>
          <w:lang w:val="zh-CN" w:eastAsia="zh-CN" w:bidi="zh-CN"/>
        </w:rPr>
        <w:t>开展基层卫生健康综合改革</w:t>
      </w:r>
      <w:r>
        <w:rPr>
          <w:rFonts w:hint="eastAsia" w:cs="仿宋_GB2312"/>
          <w:color w:val="auto"/>
          <w:spacing w:val="3"/>
          <w:sz w:val="32"/>
          <w:szCs w:val="32"/>
          <w:highlight w:val="none"/>
          <w:lang w:val="zh-CN" w:eastAsia="zh-CN" w:bidi="zh-CN"/>
        </w:rPr>
        <w:t>工作监测和</w:t>
      </w:r>
      <w:r>
        <w:rPr>
          <w:rFonts w:hint="eastAsia" w:ascii="仿宋_GB2312" w:hAnsi="仿宋_GB2312" w:eastAsia="仿宋_GB2312" w:cs="仿宋_GB2312"/>
          <w:color w:val="auto"/>
          <w:spacing w:val="3"/>
          <w:sz w:val="32"/>
          <w:szCs w:val="32"/>
          <w:highlight w:val="none"/>
          <w:lang w:val="zh-CN" w:eastAsia="zh-CN" w:bidi="zh-CN"/>
        </w:rPr>
        <w:t>中期评估，确保</w:t>
      </w:r>
      <w:r>
        <w:rPr>
          <w:rFonts w:hint="eastAsia" w:cs="仿宋_GB2312"/>
          <w:color w:val="auto"/>
          <w:spacing w:val="3"/>
          <w:sz w:val="32"/>
          <w:szCs w:val="32"/>
          <w:highlight w:val="none"/>
          <w:lang w:val="zh-CN" w:eastAsia="zh-CN" w:bidi="zh-CN"/>
        </w:rPr>
        <w:t>有效完成各项</w:t>
      </w:r>
      <w:r>
        <w:rPr>
          <w:rFonts w:hint="eastAsia" w:ascii="仿宋_GB2312" w:hAnsi="仿宋_GB2312" w:eastAsia="仿宋_GB2312" w:cs="仿宋_GB2312"/>
          <w:color w:val="auto"/>
          <w:spacing w:val="3"/>
          <w:sz w:val="32"/>
          <w:szCs w:val="32"/>
          <w:highlight w:val="none"/>
          <w:lang w:val="zh-CN" w:eastAsia="zh-CN" w:bidi="zh-CN"/>
        </w:rPr>
        <w:t>重点任务。</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hint="eastAsia" w:ascii="黑体" w:hAnsi="黑体" w:eastAsia="黑体" w:cs="黑体"/>
          <w:color w:val="auto"/>
          <w:spacing w:val="3"/>
          <w:sz w:val="32"/>
          <w:szCs w:val="32"/>
          <w:highlight w:val="none"/>
          <w:lang w:val="zh-CN" w:eastAsia="zh-CN" w:bidi="zh-CN"/>
        </w:rPr>
      </w:pPr>
      <w:r>
        <w:rPr>
          <w:rFonts w:hint="eastAsia" w:ascii="楷体" w:hAnsi="楷体" w:eastAsia="楷体" w:cs="楷体"/>
          <w:color w:val="auto"/>
          <w:spacing w:val="3"/>
          <w:sz w:val="32"/>
          <w:szCs w:val="32"/>
          <w:highlight w:val="none"/>
          <w:lang w:val="zh-CN" w:eastAsia="zh-CN" w:bidi="zh-CN"/>
        </w:rPr>
        <w:t>（三）完善阶段（2024年1月—2025年12月）。</w:t>
      </w:r>
      <w:r>
        <w:rPr>
          <w:rFonts w:hint="eastAsia" w:ascii="仿宋_GB2312" w:hAnsi="仿宋_GB2312" w:eastAsia="仿宋_GB2312" w:cs="仿宋_GB2312"/>
          <w:color w:val="auto"/>
          <w:spacing w:val="3"/>
          <w:sz w:val="32"/>
          <w:szCs w:val="32"/>
          <w:highlight w:val="none"/>
          <w:lang w:val="zh-CN" w:eastAsia="zh-CN" w:bidi="zh-CN"/>
        </w:rPr>
        <w:t>围绕市基层卫生健康综合改革</w:t>
      </w:r>
      <w:r>
        <w:rPr>
          <w:rFonts w:hint="eastAsia" w:cs="仿宋_GB2312"/>
          <w:color w:val="auto"/>
          <w:spacing w:val="3"/>
          <w:sz w:val="32"/>
          <w:szCs w:val="32"/>
          <w:highlight w:val="none"/>
          <w:lang w:val="zh-CN" w:eastAsia="zh-CN" w:bidi="zh-CN"/>
        </w:rPr>
        <w:t>要求</w:t>
      </w:r>
      <w:r>
        <w:rPr>
          <w:rFonts w:hint="eastAsia" w:ascii="仿宋_GB2312" w:hAnsi="仿宋_GB2312" w:eastAsia="仿宋_GB2312" w:cs="仿宋_GB2312"/>
          <w:color w:val="auto"/>
          <w:spacing w:val="3"/>
          <w:sz w:val="32"/>
          <w:szCs w:val="32"/>
          <w:highlight w:val="none"/>
          <w:lang w:val="zh-CN" w:eastAsia="zh-CN" w:bidi="zh-CN"/>
        </w:rPr>
        <w:t>，及时接受市基层卫生健康综合改革督导，确保各项目标任务如期完成。充分吸收其他县市区改革经验和先进做法，推动基层卫生健康综合改革建设取得实效。</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hint="eastAsia" w:ascii="黑体" w:hAnsi="黑体" w:eastAsia="黑体" w:cs="黑体"/>
          <w:color w:val="auto"/>
          <w:spacing w:val="3"/>
          <w:sz w:val="32"/>
          <w:szCs w:val="32"/>
          <w:highlight w:val="none"/>
          <w:lang w:val="zh-CN" w:eastAsia="zh-CN" w:bidi="zh-CN"/>
        </w:rPr>
      </w:pPr>
      <w:r>
        <w:rPr>
          <w:rFonts w:hint="eastAsia" w:ascii="黑体" w:hAnsi="黑体" w:eastAsia="黑体" w:cs="黑体"/>
          <w:color w:val="auto"/>
          <w:spacing w:val="3"/>
          <w:sz w:val="32"/>
          <w:szCs w:val="32"/>
          <w:highlight w:val="none"/>
          <w:lang w:val="zh-CN" w:eastAsia="zh-CN" w:bidi="zh-CN"/>
        </w:rPr>
        <w:t>四、保障措施</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ascii="仿宋_GB2312" w:hAnsi="仿宋_GB2312" w:eastAsia="仿宋_GB2312" w:cs="仿宋_GB2312"/>
          <w:color w:val="auto"/>
          <w:spacing w:val="3"/>
          <w:sz w:val="32"/>
          <w:szCs w:val="32"/>
          <w:highlight w:val="none"/>
          <w:lang w:val="zh-CN" w:eastAsia="zh-CN" w:bidi="zh-CN"/>
        </w:rPr>
      </w:pPr>
      <w:r>
        <w:rPr>
          <w:rFonts w:hint="eastAsia" w:ascii="楷体" w:hAnsi="楷体" w:eastAsia="楷体" w:cs="楷体"/>
          <w:color w:val="auto"/>
          <w:spacing w:val="3"/>
          <w:sz w:val="32"/>
          <w:szCs w:val="32"/>
          <w:highlight w:val="none"/>
          <w:lang w:val="zh-CN" w:eastAsia="zh-CN" w:bidi="zh-CN"/>
        </w:rPr>
        <w:t>（一）加强组织领导</w:t>
      </w:r>
      <w:r>
        <w:rPr>
          <w:rFonts w:hint="eastAsia" w:ascii="仿宋_GB2312" w:hAnsi="仿宋_GB2312" w:eastAsia="仿宋_GB2312" w:cs="仿宋_GB2312"/>
          <w:color w:val="auto"/>
          <w:spacing w:val="3"/>
          <w:sz w:val="32"/>
          <w:szCs w:val="32"/>
          <w:highlight w:val="none"/>
          <w:lang w:val="zh-CN" w:eastAsia="zh-CN" w:bidi="zh-CN"/>
        </w:rPr>
        <w:t>。</w:t>
      </w:r>
      <w:r>
        <w:rPr>
          <w:rFonts w:ascii="仿宋_GB2312" w:hAnsi="仿宋_GB2312" w:eastAsia="仿宋_GB2312" w:cs="仿宋_GB2312"/>
          <w:color w:val="auto"/>
          <w:spacing w:val="3"/>
          <w:sz w:val="32"/>
          <w:szCs w:val="32"/>
          <w:highlight w:val="none"/>
          <w:lang w:val="zh-CN" w:eastAsia="zh-CN" w:bidi="zh-CN"/>
        </w:rPr>
        <w:t>建立健全部门联动、创新突破的基层 卫生健康综合改革机制。</w:t>
      </w:r>
      <w:r>
        <w:rPr>
          <w:rFonts w:hint="eastAsia" w:cs="仿宋_GB2312"/>
          <w:color w:val="auto"/>
          <w:spacing w:val="3"/>
          <w:sz w:val="32"/>
          <w:szCs w:val="32"/>
          <w:highlight w:val="none"/>
          <w:lang w:val="zh-CN" w:eastAsia="zh-CN" w:bidi="zh-CN"/>
        </w:rPr>
        <w:t>县</w:t>
      </w:r>
      <w:r>
        <w:rPr>
          <w:rFonts w:ascii="仿宋_GB2312" w:hAnsi="仿宋_GB2312" w:eastAsia="仿宋_GB2312" w:cs="仿宋_GB2312"/>
          <w:color w:val="auto"/>
          <w:spacing w:val="3"/>
          <w:sz w:val="32"/>
          <w:szCs w:val="32"/>
          <w:highlight w:val="none"/>
          <w:lang w:val="zh-CN" w:eastAsia="zh-CN" w:bidi="zh-CN"/>
        </w:rPr>
        <w:t>卫生健康</w:t>
      </w:r>
      <w:r>
        <w:rPr>
          <w:rFonts w:hint="eastAsia" w:cs="仿宋_GB2312"/>
          <w:color w:val="auto"/>
          <w:spacing w:val="3"/>
          <w:sz w:val="32"/>
          <w:szCs w:val="32"/>
          <w:highlight w:val="none"/>
          <w:lang w:val="zh-CN" w:eastAsia="zh-CN" w:bidi="zh-CN"/>
        </w:rPr>
        <w:t>局</w:t>
      </w:r>
      <w:r>
        <w:rPr>
          <w:rFonts w:ascii="仿宋_GB2312" w:hAnsi="仿宋_GB2312" w:eastAsia="仿宋_GB2312" w:cs="仿宋_GB2312"/>
          <w:color w:val="auto"/>
          <w:spacing w:val="3"/>
          <w:sz w:val="32"/>
          <w:szCs w:val="32"/>
          <w:highlight w:val="none"/>
          <w:lang w:val="zh-CN" w:eastAsia="zh-CN" w:bidi="zh-CN"/>
        </w:rPr>
        <w:t>牵头制定主要指标和重点 任务分解清单，各有关部门高度重视卫生健康事业发展，加强部门协同。各</w:t>
      </w:r>
      <w:r>
        <w:rPr>
          <w:rFonts w:hint="eastAsia" w:cs="仿宋_GB2312"/>
          <w:color w:val="auto"/>
          <w:spacing w:val="3"/>
          <w:sz w:val="32"/>
          <w:szCs w:val="32"/>
          <w:highlight w:val="none"/>
          <w:lang w:val="zh-CN" w:eastAsia="zh-CN" w:bidi="zh-CN"/>
        </w:rPr>
        <w:t>部门</w:t>
      </w:r>
      <w:r>
        <w:rPr>
          <w:rFonts w:ascii="仿宋_GB2312" w:hAnsi="仿宋_GB2312" w:eastAsia="仿宋_GB2312" w:cs="仿宋_GB2312"/>
          <w:color w:val="auto"/>
          <w:spacing w:val="3"/>
          <w:sz w:val="32"/>
          <w:szCs w:val="32"/>
          <w:highlight w:val="none"/>
          <w:lang w:val="zh-CN" w:eastAsia="zh-CN" w:bidi="zh-CN"/>
        </w:rPr>
        <w:t>要形成推进方案目标和任务落实的强大合力，确保各项政策措施落到实处，推动基层卫生健康事业高质量发展。</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ascii="仿宋_GB2312" w:hAnsi="仿宋_GB2312" w:eastAsia="仿宋_GB2312" w:cs="仿宋_GB2312"/>
          <w:color w:val="auto"/>
          <w:spacing w:val="3"/>
          <w:sz w:val="32"/>
          <w:szCs w:val="32"/>
          <w:highlight w:val="none"/>
          <w:lang w:val="zh-CN" w:eastAsia="zh-CN" w:bidi="zh-CN"/>
        </w:rPr>
      </w:pPr>
      <w:r>
        <w:rPr>
          <w:rFonts w:hint="eastAsia" w:ascii="楷体" w:hAnsi="楷体" w:eastAsia="楷体" w:cs="楷体"/>
          <w:color w:val="auto"/>
          <w:spacing w:val="3"/>
          <w:sz w:val="32"/>
          <w:szCs w:val="32"/>
          <w:highlight w:val="none"/>
          <w:lang w:val="zh-CN" w:eastAsia="zh-CN" w:bidi="zh-CN"/>
        </w:rPr>
        <w:t>（二）加强要素保障。</w:t>
      </w:r>
      <w:r>
        <w:rPr>
          <w:rFonts w:ascii="仿宋_GB2312" w:hAnsi="仿宋_GB2312" w:eastAsia="仿宋_GB2312" w:cs="仿宋_GB2312"/>
          <w:color w:val="auto"/>
          <w:spacing w:val="3"/>
          <w:sz w:val="32"/>
          <w:szCs w:val="32"/>
          <w:highlight w:val="none"/>
          <w:lang w:val="zh-CN" w:eastAsia="zh-CN" w:bidi="zh-CN"/>
        </w:rPr>
        <w:t>加大政策支持力度，优先落实资金、人才、土地等要素指标，加强与基层卫生健康综合改革的衔接协调。发挥政府在卫生健康事业发展中的主导作用，确保实施本方案所必需的经费纳入同级财政预算，强化公共财政对基本医疗、公共卫生、中医药事业发展等所需经费保障。其他有关部门要依法依规做好各类资源要素保障。</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ascii="仿宋_GB2312" w:hAnsi="仿宋_GB2312" w:eastAsia="仿宋_GB2312" w:cs="仿宋_GB2312"/>
          <w:color w:val="auto"/>
          <w:spacing w:val="3"/>
          <w:sz w:val="32"/>
          <w:szCs w:val="32"/>
          <w:highlight w:val="none"/>
          <w:lang w:val="zh-CN" w:eastAsia="zh-CN" w:bidi="zh-CN"/>
        </w:rPr>
      </w:pPr>
      <w:r>
        <w:rPr>
          <w:rFonts w:hint="eastAsia" w:ascii="楷体" w:hAnsi="楷体" w:eastAsia="楷体" w:cs="楷体"/>
          <w:color w:val="auto"/>
          <w:spacing w:val="3"/>
          <w:sz w:val="32"/>
          <w:szCs w:val="32"/>
          <w:highlight w:val="none"/>
          <w:lang w:val="zh-CN" w:eastAsia="zh-CN" w:bidi="zh-CN"/>
        </w:rPr>
        <w:t>（三）加强宣传引导。</w:t>
      </w:r>
      <w:r>
        <w:rPr>
          <w:rFonts w:ascii="仿宋_GB2312" w:hAnsi="仿宋_GB2312" w:eastAsia="仿宋_GB2312" w:cs="仿宋_GB2312"/>
          <w:color w:val="auto"/>
          <w:spacing w:val="3"/>
          <w:sz w:val="32"/>
          <w:szCs w:val="32"/>
          <w:highlight w:val="none"/>
          <w:lang w:val="zh-CN" w:eastAsia="zh-CN" w:bidi="zh-CN"/>
        </w:rPr>
        <w:t>大力宣传和弘扬基层医务人员的先进事迹和奉献精神，不断提升基层医务人员的社会地位和职业地位，营造关心关爱基层医务人员的良好氛围。要及时总结工作经验，宣传改革成效，形成示范带动效应，打造全省乃至全国样板。</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ascii="仿宋_GB2312" w:hAnsi="仿宋_GB2312" w:eastAsia="仿宋_GB2312" w:cs="仿宋_GB2312"/>
          <w:color w:val="auto"/>
          <w:spacing w:val="3"/>
          <w:sz w:val="32"/>
          <w:szCs w:val="32"/>
          <w:highlight w:val="none"/>
          <w:lang w:val="zh-CN" w:eastAsia="zh-CN" w:bidi="zh-CN"/>
        </w:rPr>
      </w:pPr>
      <w:r>
        <w:rPr>
          <w:rFonts w:hint="eastAsia" w:ascii="楷体" w:hAnsi="楷体" w:eastAsia="楷体" w:cs="楷体"/>
          <w:color w:val="auto"/>
          <w:spacing w:val="3"/>
          <w:sz w:val="32"/>
          <w:szCs w:val="32"/>
          <w:highlight w:val="none"/>
          <w:lang w:val="zh-CN" w:eastAsia="zh-CN" w:bidi="zh-CN"/>
        </w:rPr>
        <w:t>（四）加强监测评价。</w:t>
      </w:r>
      <w:r>
        <w:rPr>
          <w:rFonts w:ascii="仿宋_GB2312" w:hAnsi="仿宋_GB2312" w:eastAsia="仿宋_GB2312" w:cs="仿宋_GB2312"/>
          <w:color w:val="auto"/>
          <w:spacing w:val="3"/>
          <w:sz w:val="32"/>
          <w:szCs w:val="32"/>
          <w:highlight w:val="none"/>
          <w:lang w:val="zh-CN" w:eastAsia="zh-CN" w:bidi="zh-CN"/>
        </w:rPr>
        <w:t>科学制定完善基层卫生健康综合改革监测评价指标体系和评分办法，相关指标纳入</w:t>
      </w:r>
      <w:r>
        <w:rPr>
          <w:rFonts w:hint="eastAsia" w:cs="仿宋_GB2312"/>
          <w:color w:val="auto"/>
          <w:spacing w:val="3"/>
          <w:sz w:val="32"/>
          <w:szCs w:val="32"/>
          <w:highlight w:val="none"/>
          <w:lang w:val="zh-CN" w:eastAsia="zh-CN" w:bidi="zh-CN"/>
        </w:rPr>
        <w:t>各部门年终绩效</w:t>
      </w:r>
      <w:r>
        <w:rPr>
          <w:rFonts w:ascii="仿宋_GB2312" w:hAnsi="仿宋_GB2312" w:eastAsia="仿宋_GB2312" w:cs="仿宋_GB2312"/>
          <w:color w:val="auto"/>
          <w:spacing w:val="3"/>
          <w:sz w:val="32"/>
          <w:szCs w:val="32"/>
          <w:highlight w:val="none"/>
          <w:lang w:val="zh-CN" w:eastAsia="zh-CN" w:bidi="zh-CN"/>
        </w:rPr>
        <w:t>考核，定期开展实施情况动态监测和跟踪分析。建立定期督查机制，创新督查方式，完善问题反馈整改和提醒通报机制，推动各项工作落地落实。</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ascii="仿宋_GB2312" w:hAnsi="仿宋_GB2312" w:eastAsia="仿宋_GB2312" w:cs="仿宋_GB2312"/>
          <w:color w:val="auto"/>
          <w:spacing w:val="3"/>
          <w:sz w:val="32"/>
          <w:szCs w:val="32"/>
          <w:highlight w:val="none"/>
          <w:lang w:val="zh-CN" w:eastAsia="zh-CN" w:bidi="zh-CN"/>
        </w:rPr>
      </w:pPr>
      <w:r>
        <w:rPr>
          <w:rFonts w:ascii="仿宋_GB2312" w:hAnsi="仿宋_GB2312" w:eastAsia="仿宋_GB2312" w:cs="仿宋_GB2312"/>
          <w:color w:val="auto"/>
          <w:spacing w:val="3"/>
          <w:sz w:val="32"/>
          <w:szCs w:val="32"/>
          <w:highlight w:val="none"/>
          <w:lang w:val="zh-CN" w:eastAsia="zh-CN" w:bidi="zh-CN"/>
        </w:rPr>
        <w:t>本方案自2022年</w:t>
      </w:r>
      <w:r>
        <w:rPr>
          <w:rFonts w:hint="eastAsia" w:cs="仿宋_GB2312"/>
          <w:color w:val="auto"/>
          <w:spacing w:val="3"/>
          <w:sz w:val="32"/>
          <w:szCs w:val="32"/>
          <w:highlight w:val="none"/>
          <w:lang w:val="en-US" w:eastAsia="zh-CN" w:bidi="zh-CN"/>
        </w:rPr>
        <w:t>*</w:t>
      </w:r>
      <w:r>
        <w:rPr>
          <w:rFonts w:ascii="仿宋_GB2312" w:hAnsi="仿宋_GB2312" w:eastAsia="仿宋_GB2312" w:cs="仿宋_GB2312"/>
          <w:color w:val="auto"/>
          <w:spacing w:val="3"/>
          <w:sz w:val="32"/>
          <w:szCs w:val="32"/>
          <w:highlight w:val="none"/>
          <w:lang w:val="zh-CN" w:eastAsia="zh-CN" w:bidi="zh-CN"/>
        </w:rPr>
        <w:t>月</w:t>
      </w:r>
      <w:r>
        <w:rPr>
          <w:rFonts w:hint="eastAsia" w:ascii="仿宋_GB2312" w:hAnsi="仿宋_GB2312" w:eastAsia="仿宋_GB2312" w:cs="仿宋_GB2312"/>
          <w:color w:val="auto"/>
          <w:spacing w:val="3"/>
          <w:sz w:val="32"/>
          <w:szCs w:val="32"/>
          <w:highlight w:val="none"/>
          <w:lang w:val="en-US" w:eastAsia="zh-CN" w:bidi="zh-CN"/>
        </w:rPr>
        <w:t>1</w:t>
      </w:r>
      <w:r>
        <w:rPr>
          <w:rFonts w:ascii="仿宋_GB2312" w:hAnsi="仿宋_GB2312" w:eastAsia="仿宋_GB2312" w:cs="仿宋_GB2312"/>
          <w:color w:val="auto"/>
          <w:spacing w:val="3"/>
          <w:sz w:val="32"/>
          <w:szCs w:val="32"/>
          <w:highlight w:val="none"/>
          <w:lang w:val="zh-CN" w:eastAsia="zh-CN" w:bidi="zh-CN"/>
        </w:rPr>
        <w:t>日起施行。</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ascii="仿宋_GB2312" w:hAnsi="仿宋_GB2312" w:eastAsia="仿宋_GB2312" w:cs="仿宋_GB2312"/>
          <w:color w:val="auto"/>
          <w:spacing w:val="3"/>
          <w:sz w:val="32"/>
          <w:szCs w:val="32"/>
          <w:highlight w:val="none"/>
          <w:lang w:val="zh-CN" w:eastAsia="zh-CN" w:bidi="zh-CN"/>
        </w:rPr>
      </w:pP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652" w:firstLineChars="200"/>
        <w:jc w:val="both"/>
        <w:textAlignment w:val="auto"/>
        <w:rPr>
          <w:rFonts w:ascii="仿宋_GB2312" w:hAnsi="仿宋_GB2312" w:eastAsia="仿宋_GB2312" w:cs="仿宋_GB2312"/>
          <w:color w:val="auto"/>
          <w:spacing w:val="3"/>
          <w:sz w:val="32"/>
          <w:szCs w:val="32"/>
          <w:highlight w:val="none"/>
          <w:lang w:val="zh-CN" w:eastAsia="zh-CN" w:bidi="zh-CN"/>
        </w:rPr>
      </w:pPr>
      <w:r>
        <w:rPr>
          <w:rFonts w:ascii="仿宋_GB2312" w:hAnsi="仿宋_GB2312" w:eastAsia="仿宋_GB2312" w:cs="仿宋_GB2312"/>
          <w:color w:val="auto"/>
          <w:spacing w:val="3"/>
          <w:sz w:val="32"/>
          <w:szCs w:val="32"/>
          <w:highlight w:val="none"/>
          <w:lang w:val="zh-CN" w:eastAsia="zh-CN" w:bidi="zh-CN"/>
        </w:rPr>
        <w:t>附件</w:t>
      </w:r>
      <w:r>
        <w:rPr>
          <w:rFonts w:hint="eastAsia" w:cs="仿宋_GB2312"/>
          <w:color w:val="auto"/>
          <w:spacing w:val="3"/>
          <w:sz w:val="32"/>
          <w:szCs w:val="32"/>
          <w:highlight w:val="none"/>
          <w:lang w:val="zh-CN" w:eastAsia="zh-CN" w:bidi="zh-CN"/>
        </w:rPr>
        <w:t>：</w:t>
      </w:r>
      <w:r>
        <w:rPr>
          <w:rFonts w:hint="eastAsia" w:cs="仿宋_GB2312"/>
          <w:color w:val="auto"/>
          <w:spacing w:val="3"/>
          <w:sz w:val="32"/>
          <w:szCs w:val="32"/>
          <w:highlight w:val="none"/>
          <w:lang w:val="en-US" w:eastAsia="zh-CN" w:bidi="zh-CN"/>
        </w:rPr>
        <w:t>1.</w:t>
      </w:r>
      <w:r>
        <w:rPr>
          <w:rFonts w:hint="eastAsia" w:cs="仿宋_GB2312"/>
          <w:color w:val="auto"/>
          <w:spacing w:val="3"/>
          <w:sz w:val="32"/>
          <w:szCs w:val="32"/>
          <w:highlight w:val="none"/>
          <w:lang w:val="zh-CN" w:eastAsia="zh-CN" w:bidi="zh-CN"/>
        </w:rPr>
        <w:t>新昌县</w:t>
      </w:r>
      <w:r>
        <w:rPr>
          <w:rFonts w:ascii="仿宋_GB2312" w:hAnsi="仿宋_GB2312" w:eastAsia="仿宋_GB2312" w:cs="仿宋_GB2312"/>
          <w:color w:val="auto"/>
          <w:spacing w:val="3"/>
          <w:sz w:val="32"/>
          <w:szCs w:val="32"/>
          <w:highlight w:val="none"/>
          <w:lang w:val="zh-CN" w:eastAsia="zh-CN" w:bidi="zh-CN"/>
        </w:rPr>
        <w:t>深化基层卫生健康综合改革领导小组名单</w:t>
      </w: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560" w:lineRule="exact"/>
        <w:ind w:right="262" w:rightChars="0" w:firstLine="1630" w:firstLineChars="500"/>
        <w:jc w:val="both"/>
        <w:textAlignment w:val="auto"/>
        <w:rPr>
          <w:rFonts w:ascii="仿宋_GB2312" w:hAnsi="仿宋_GB2312" w:eastAsia="仿宋_GB2312" w:cs="仿宋_GB2312"/>
          <w:color w:val="auto"/>
          <w:spacing w:val="3"/>
          <w:sz w:val="32"/>
          <w:szCs w:val="32"/>
          <w:highlight w:val="none"/>
          <w:lang w:val="zh-CN" w:eastAsia="zh-CN" w:bidi="zh-CN"/>
        </w:rPr>
      </w:pPr>
      <w:r>
        <w:rPr>
          <w:rFonts w:hint="eastAsia" w:cs="仿宋_GB2312"/>
          <w:color w:val="auto"/>
          <w:spacing w:val="3"/>
          <w:sz w:val="32"/>
          <w:szCs w:val="32"/>
          <w:highlight w:val="none"/>
          <w:lang w:val="en-US" w:eastAsia="zh-CN" w:bidi="zh-CN"/>
        </w:rPr>
        <w:t>2.</w:t>
      </w:r>
      <w:r>
        <w:rPr>
          <w:rFonts w:hint="eastAsia" w:cs="仿宋_GB2312"/>
          <w:color w:val="auto"/>
          <w:spacing w:val="3"/>
          <w:sz w:val="32"/>
          <w:szCs w:val="32"/>
          <w:highlight w:val="none"/>
          <w:lang w:val="zh-CN" w:eastAsia="zh-CN" w:bidi="zh-CN"/>
        </w:rPr>
        <w:t>新昌县</w:t>
      </w:r>
      <w:r>
        <w:rPr>
          <w:rFonts w:ascii="仿宋_GB2312" w:hAnsi="仿宋_GB2312" w:eastAsia="仿宋_GB2312" w:cs="仿宋_GB2312"/>
          <w:color w:val="auto"/>
          <w:spacing w:val="3"/>
          <w:sz w:val="32"/>
          <w:szCs w:val="32"/>
          <w:highlight w:val="none"/>
          <w:lang w:val="zh-CN" w:eastAsia="zh-CN" w:bidi="zh-CN"/>
        </w:rPr>
        <w:t>深化基层卫生健康综合改革重点任务清单</w:t>
      </w:r>
    </w:p>
    <w:p>
      <w:pPr>
        <w:pStyle w:val="3"/>
        <w:spacing w:before="54"/>
        <w:jc w:val="both"/>
        <w:rPr>
          <w:rFonts w:hint="eastAsia" w:ascii="黑体" w:eastAsia="黑体"/>
          <w:highlight w:val="none"/>
        </w:rPr>
      </w:pPr>
    </w:p>
    <w:p>
      <w:pPr>
        <w:pStyle w:val="3"/>
        <w:spacing w:before="54"/>
        <w:jc w:val="both"/>
        <w:rPr>
          <w:rFonts w:hint="eastAsia" w:ascii="黑体" w:eastAsia="黑体"/>
          <w:highlight w:val="none"/>
        </w:rPr>
      </w:pPr>
    </w:p>
    <w:p>
      <w:pPr>
        <w:pStyle w:val="3"/>
        <w:spacing w:before="54"/>
        <w:jc w:val="both"/>
        <w:rPr>
          <w:rFonts w:hint="eastAsia" w:ascii="黑体" w:eastAsia="黑体"/>
          <w:highlight w:val="none"/>
        </w:rPr>
      </w:pPr>
    </w:p>
    <w:p>
      <w:pPr>
        <w:pStyle w:val="3"/>
        <w:spacing w:before="54"/>
        <w:jc w:val="both"/>
        <w:rPr>
          <w:rFonts w:hint="eastAsia" w:ascii="黑体" w:eastAsia="黑体"/>
          <w:highlight w:val="none"/>
        </w:rPr>
      </w:pPr>
    </w:p>
    <w:p>
      <w:pPr>
        <w:pStyle w:val="3"/>
        <w:spacing w:before="54"/>
        <w:jc w:val="both"/>
        <w:rPr>
          <w:rFonts w:hint="eastAsia" w:ascii="黑体" w:eastAsia="黑体"/>
          <w:highlight w:val="none"/>
        </w:rPr>
      </w:pPr>
    </w:p>
    <w:p>
      <w:pPr>
        <w:pStyle w:val="3"/>
        <w:spacing w:before="54"/>
        <w:jc w:val="both"/>
        <w:rPr>
          <w:rFonts w:hint="eastAsia" w:ascii="黑体" w:eastAsia="黑体"/>
          <w:highlight w:val="none"/>
        </w:rPr>
      </w:pPr>
    </w:p>
    <w:p>
      <w:pPr>
        <w:pStyle w:val="3"/>
        <w:spacing w:before="54"/>
        <w:jc w:val="both"/>
        <w:rPr>
          <w:rFonts w:hint="eastAsia" w:ascii="黑体" w:eastAsia="黑体"/>
          <w:highlight w:val="none"/>
        </w:rPr>
      </w:pPr>
    </w:p>
    <w:p>
      <w:pPr>
        <w:pStyle w:val="3"/>
        <w:spacing w:before="54"/>
        <w:jc w:val="both"/>
        <w:rPr>
          <w:rFonts w:hint="eastAsia" w:ascii="黑体" w:eastAsia="黑体"/>
          <w:highlight w:val="none"/>
        </w:rPr>
      </w:pPr>
    </w:p>
    <w:p>
      <w:pPr>
        <w:pStyle w:val="3"/>
        <w:spacing w:before="54"/>
        <w:jc w:val="both"/>
        <w:rPr>
          <w:rFonts w:hint="eastAsia" w:ascii="黑体" w:eastAsia="黑体"/>
          <w:highlight w:val="none"/>
        </w:rPr>
      </w:pPr>
    </w:p>
    <w:p>
      <w:pPr>
        <w:pStyle w:val="3"/>
        <w:spacing w:before="54"/>
        <w:jc w:val="both"/>
        <w:rPr>
          <w:rFonts w:hint="eastAsia" w:ascii="黑体" w:eastAsia="黑体"/>
          <w:highlight w:val="none"/>
        </w:rPr>
      </w:pPr>
    </w:p>
    <w:p>
      <w:pPr>
        <w:pStyle w:val="3"/>
        <w:spacing w:before="54"/>
        <w:jc w:val="both"/>
        <w:rPr>
          <w:rFonts w:hint="eastAsia" w:ascii="黑体" w:eastAsia="黑体"/>
          <w:highlight w:val="none"/>
        </w:rPr>
      </w:pPr>
    </w:p>
    <w:p>
      <w:pPr>
        <w:pStyle w:val="3"/>
        <w:spacing w:before="54"/>
        <w:jc w:val="both"/>
        <w:rPr>
          <w:rFonts w:hint="eastAsia" w:ascii="黑体" w:eastAsia="黑体"/>
          <w:highlight w:val="none"/>
        </w:rPr>
      </w:pPr>
    </w:p>
    <w:p>
      <w:pPr>
        <w:pStyle w:val="3"/>
        <w:spacing w:before="54"/>
        <w:jc w:val="both"/>
        <w:rPr>
          <w:rFonts w:hint="eastAsia" w:ascii="黑体" w:eastAsia="黑体"/>
          <w:highlight w:val="none"/>
        </w:rPr>
      </w:pPr>
      <w:r>
        <w:rPr>
          <w:rFonts w:hint="eastAsia" w:ascii="黑体" w:eastAsia="黑体"/>
          <w:highlight w:val="none"/>
        </w:rPr>
        <w:t>附件1</w:t>
      </w:r>
    </w:p>
    <w:p>
      <w:pPr>
        <w:pStyle w:val="3"/>
        <w:spacing w:before="10"/>
        <w:jc w:val="both"/>
        <w:rPr>
          <w:rFonts w:ascii="黑体"/>
          <w:sz w:val="46"/>
          <w:highlight w:val="none"/>
        </w:rPr>
      </w:pPr>
    </w:p>
    <w:p>
      <w:pPr>
        <w:widowControl w:val="0"/>
        <w:autoSpaceDE w:val="0"/>
        <w:autoSpaceDN w:val="0"/>
        <w:spacing w:before="0" w:after="0" w:line="240" w:lineRule="auto"/>
        <w:ind w:left="470" w:right="0"/>
        <w:jc w:val="both"/>
        <w:outlineLvl w:val="1"/>
        <w:rPr>
          <w:rFonts w:ascii="方正小标宋简体" w:hAnsi="方正小标宋简体" w:eastAsia="方正小标宋简体" w:cs="方正小标宋简体"/>
          <w:sz w:val="36"/>
          <w:szCs w:val="36"/>
          <w:highlight w:val="none"/>
          <w:lang w:val="zh-CN" w:eastAsia="zh-CN" w:bidi="zh-CN"/>
        </w:rPr>
      </w:pPr>
      <w:r>
        <w:rPr>
          <w:rFonts w:hint="eastAsia" w:ascii="方正小标宋简体" w:hAnsi="方正小标宋简体" w:eastAsia="方正小标宋简体" w:cs="方正小标宋简体"/>
          <w:sz w:val="36"/>
          <w:szCs w:val="36"/>
          <w:highlight w:val="none"/>
          <w:lang w:val="zh-CN" w:eastAsia="zh-CN" w:bidi="zh-CN"/>
        </w:rPr>
        <w:t>新昌县</w:t>
      </w:r>
      <w:r>
        <w:rPr>
          <w:rFonts w:ascii="方正小标宋简体" w:hAnsi="方正小标宋简体" w:eastAsia="方正小标宋简体" w:cs="方正小标宋简体"/>
          <w:sz w:val="36"/>
          <w:szCs w:val="36"/>
          <w:highlight w:val="none"/>
          <w:lang w:val="zh-CN" w:eastAsia="zh-CN" w:bidi="zh-CN"/>
        </w:rPr>
        <w:t>深化基层卫生健康综合改革领导小组名单</w:t>
      </w:r>
    </w:p>
    <w:p>
      <w:pPr>
        <w:pStyle w:val="3"/>
        <w:spacing w:before="4"/>
        <w:jc w:val="both"/>
        <w:rPr>
          <w:rFonts w:ascii="方正小标宋简体"/>
          <w:sz w:val="35"/>
          <w:highlight w:val="none"/>
        </w:rPr>
      </w:pPr>
    </w:p>
    <w:p>
      <w:pPr>
        <w:pStyle w:val="3"/>
        <w:spacing w:before="1" w:line="350" w:lineRule="auto"/>
        <w:ind w:left="268" w:right="633" w:firstLine="638"/>
        <w:jc w:val="both"/>
        <w:rPr>
          <w:spacing w:val="-14"/>
          <w:highlight w:val="none"/>
        </w:rPr>
      </w:pPr>
      <w:r>
        <w:rPr>
          <w:spacing w:val="-7"/>
          <w:highlight w:val="none"/>
        </w:rPr>
        <w:t>为深化推进基层卫生健康综合改革，统筹协调各项工作，经</w:t>
      </w:r>
      <w:r>
        <w:rPr>
          <w:rFonts w:hint="eastAsia"/>
          <w:spacing w:val="-14"/>
          <w:w w:val="95"/>
          <w:highlight w:val="none"/>
          <w:lang w:eastAsia="zh-CN"/>
        </w:rPr>
        <w:t>县</w:t>
      </w:r>
      <w:r>
        <w:rPr>
          <w:spacing w:val="-14"/>
          <w:w w:val="95"/>
          <w:highlight w:val="none"/>
        </w:rPr>
        <w:t>政府研究决定，成立</w:t>
      </w:r>
      <w:r>
        <w:rPr>
          <w:rFonts w:hint="eastAsia"/>
          <w:spacing w:val="-14"/>
          <w:w w:val="95"/>
          <w:highlight w:val="none"/>
          <w:lang w:eastAsia="zh-CN"/>
        </w:rPr>
        <w:t>新昌县</w:t>
      </w:r>
      <w:r>
        <w:rPr>
          <w:spacing w:val="-14"/>
          <w:w w:val="95"/>
          <w:highlight w:val="none"/>
        </w:rPr>
        <w:t>深化基层卫生健康综合改革</w:t>
      </w:r>
      <w:r>
        <w:rPr>
          <w:spacing w:val="-14"/>
          <w:highlight w:val="none"/>
        </w:rPr>
        <w:t>领导小组，组成人员名单如下：</w:t>
      </w:r>
    </w:p>
    <w:p>
      <w:pPr>
        <w:pStyle w:val="3"/>
        <w:spacing w:before="1" w:line="350" w:lineRule="auto"/>
        <w:ind w:left="268" w:right="633" w:firstLine="638"/>
        <w:jc w:val="both"/>
        <w:rPr>
          <w:rFonts w:hint="eastAsia" w:eastAsia="仿宋_GB2312"/>
          <w:highlight w:val="none"/>
          <w:lang w:eastAsia="zh-CN"/>
        </w:rPr>
      </w:pPr>
      <w:r>
        <w:rPr>
          <w:highlight w:val="none"/>
        </w:rPr>
        <w:t xml:space="preserve">组 </w:t>
      </w:r>
      <w:r>
        <w:rPr>
          <w:rFonts w:hint="eastAsia"/>
          <w:highlight w:val="none"/>
          <w:lang w:val="en-US" w:eastAsia="zh-CN"/>
        </w:rPr>
        <w:t xml:space="preserve"> </w:t>
      </w:r>
      <w:r>
        <w:rPr>
          <w:highlight w:val="none"/>
        </w:rPr>
        <w:t>长：</w:t>
      </w:r>
      <w:r>
        <w:rPr>
          <w:rFonts w:hint="eastAsia"/>
          <w:highlight w:val="none"/>
          <w:lang w:eastAsia="zh-CN"/>
        </w:rPr>
        <w:t>王奇洲</w:t>
      </w:r>
    </w:p>
    <w:p>
      <w:pPr>
        <w:pStyle w:val="3"/>
        <w:tabs>
          <w:tab w:val="left" w:pos="1547"/>
        </w:tabs>
        <w:spacing w:before="3" w:line="350" w:lineRule="auto"/>
        <w:ind w:left="268" w:right="468" w:firstLine="638"/>
        <w:jc w:val="both"/>
        <w:rPr>
          <w:rFonts w:hint="eastAsia"/>
          <w:highlight w:val="none"/>
          <w:lang w:eastAsia="zh-CN"/>
        </w:rPr>
      </w:pPr>
      <w:r>
        <w:rPr>
          <w:rFonts w:hint="eastAsia"/>
          <w:highlight w:val="none"/>
          <w:lang w:eastAsia="zh-CN"/>
        </w:rPr>
        <w:t>副组长：王越晟</w:t>
      </w:r>
    </w:p>
    <w:p>
      <w:pPr>
        <w:pStyle w:val="3"/>
        <w:tabs>
          <w:tab w:val="left" w:pos="1547"/>
        </w:tabs>
        <w:spacing w:before="3" w:line="350" w:lineRule="auto"/>
        <w:ind w:left="268" w:right="468" w:firstLine="638"/>
        <w:jc w:val="both"/>
        <w:rPr>
          <w:highlight w:val="none"/>
        </w:rPr>
      </w:pPr>
      <w:r>
        <w:rPr>
          <w:highlight w:val="none"/>
        </w:rPr>
        <w:t>成</w:t>
      </w:r>
      <w:r>
        <w:rPr>
          <w:highlight w:val="none"/>
        </w:rPr>
        <w:tab/>
      </w:r>
      <w:r>
        <w:rPr>
          <w:highlight w:val="none"/>
        </w:rPr>
        <w:t>员</w:t>
      </w:r>
      <w:r>
        <w:rPr>
          <w:spacing w:val="-22"/>
          <w:highlight w:val="none"/>
        </w:rPr>
        <w:t>：</w:t>
      </w:r>
      <w:r>
        <w:rPr>
          <w:rFonts w:hint="eastAsia"/>
          <w:color w:val="000000" w:themeColor="text1"/>
          <w:spacing w:val="-22"/>
          <w:highlight w:val="none"/>
          <w:lang w:eastAsia="zh-CN"/>
        </w:rPr>
        <w:t>县</w:t>
      </w:r>
      <w:r>
        <w:rPr>
          <w:color w:val="000000" w:themeColor="text1"/>
          <w:highlight w:val="none"/>
        </w:rPr>
        <w:t>委办</w:t>
      </w:r>
      <w:r>
        <w:rPr>
          <w:color w:val="000000" w:themeColor="text1"/>
          <w:spacing w:val="-22"/>
          <w:highlight w:val="none"/>
        </w:rPr>
        <w:t>、</w:t>
      </w:r>
      <w:r>
        <w:rPr>
          <w:rFonts w:hint="eastAsia"/>
          <w:color w:val="000000" w:themeColor="text1"/>
          <w:highlight w:val="none"/>
          <w:lang w:eastAsia="zh-CN"/>
        </w:rPr>
        <w:t>县</w:t>
      </w:r>
      <w:r>
        <w:rPr>
          <w:color w:val="000000" w:themeColor="text1"/>
          <w:highlight w:val="none"/>
        </w:rPr>
        <w:t>府办</w:t>
      </w:r>
      <w:r>
        <w:rPr>
          <w:color w:val="000000" w:themeColor="text1"/>
          <w:spacing w:val="-22"/>
          <w:highlight w:val="none"/>
        </w:rPr>
        <w:t>、</w:t>
      </w:r>
      <w:r>
        <w:rPr>
          <w:rFonts w:hint="eastAsia"/>
          <w:color w:val="000000" w:themeColor="text1"/>
          <w:highlight w:val="none"/>
          <w:lang w:eastAsia="zh-CN"/>
        </w:rPr>
        <w:t>县</w:t>
      </w:r>
      <w:r>
        <w:rPr>
          <w:color w:val="000000" w:themeColor="text1"/>
          <w:highlight w:val="none"/>
        </w:rPr>
        <w:t>委宣传部</w:t>
      </w:r>
      <w:r>
        <w:rPr>
          <w:color w:val="000000" w:themeColor="text1"/>
          <w:spacing w:val="-22"/>
          <w:highlight w:val="none"/>
        </w:rPr>
        <w:t>、</w:t>
      </w:r>
      <w:r>
        <w:rPr>
          <w:rFonts w:hint="eastAsia"/>
          <w:color w:val="000000" w:themeColor="text1"/>
          <w:highlight w:val="none"/>
          <w:lang w:eastAsia="zh-CN"/>
        </w:rPr>
        <w:t>县</w:t>
      </w:r>
      <w:r>
        <w:rPr>
          <w:color w:val="000000" w:themeColor="text1"/>
          <w:highlight w:val="none"/>
        </w:rPr>
        <w:t>委编办</w:t>
      </w:r>
      <w:r>
        <w:rPr>
          <w:color w:val="000000" w:themeColor="text1"/>
          <w:spacing w:val="-22"/>
          <w:highlight w:val="none"/>
        </w:rPr>
        <w:t>、</w:t>
      </w:r>
      <w:r>
        <w:rPr>
          <w:rFonts w:hint="eastAsia"/>
          <w:color w:val="000000" w:themeColor="text1"/>
          <w:spacing w:val="-22"/>
          <w:highlight w:val="none"/>
          <w:lang w:eastAsia="zh-CN"/>
        </w:rPr>
        <w:t>县委改革办、</w:t>
      </w:r>
      <w:r>
        <w:rPr>
          <w:rFonts w:hint="eastAsia"/>
          <w:color w:val="000000" w:themeColor="text1"/>
          <w:highlight w:val="none"/>
          <w:lang w:eastAsia="zh-CN"/>
        </w:rPr>
        <w:t>县</w:t>
      </w:r>
      <w:r>
        <w:rPr>
          <w:color w:val="000000" w:themeColor="text1"/>
          <w:highlight w:val="none"/>
        </w:rPr>
        <w:t>发改局</w:t>
      </w:r>
      <w:r>
        <w:rPr>
          <w:color w:val="000000" w:themeColor="text1"/>
          <w:spacing w:val="-55"/>
          <w:highlight w:val="none"/>
        </w:rPr>
        <w:t>、</w:t>
      </w:r>
      <w:r>
        <w:rPr>
          <w:rFonts w:hint="eastAsia"/>
          <w:color w:val="000000" w:themeColor="text1"/>
          <w:highlight w:val="none"/>
          <w:lang w:eastAsia="zh-CN"/>
        </w:rPr>
        <w:t>县公安</w:t>
      </w:r>
      <w:r>
        <w:rPr>
          <w:color w:val="000000" w:themeColor="text1"/>
          <w:highlight w:val="none"/>
        </w:rPr>
        <w:t>局</w:t>
      </w:r>
      <w:r>
        <w:rPr>
          <w:color w:val="000000" w:themeColor="text1"/>
          <w:spacing w:val="-55"/>
          <w:highlight w:val="none"/>
        </w:rPr>
        <w:t>、</w:t>
      </w:r>
      <w:r>
        <w:rPr>
          <w:rFonts w:hint="eastAsia"/>
          <w:color w:val="000000" w:themeColor="text1"/>
          <w:highlight w:val="none"/>
          <w:lang w:eastAsia="zh-CN"/>
        </w:rPr>
        <w:t>县</w:t>
      </w:r>
      <w:r>
        <w:rPr>
          <w:color w:val="000000" w:themeColor="text1"/>
          <w:highlight w:val="none"/>
        </w:rPr>
        <w:t>民政局</w:t>
      </w:r>
      <w:r>
        <w:rPr>
          <w:color w:val="000000" w:themeColor="text1"/>
          <w:spacing w:val="-55"/>
          <w:highlight w:val="none"/>
        </w:rPr>
        <w:t>、</w:t>
      </w:r>
      <w:r>
        <w:rPr>
          <w:rFonts w:hint="eastAsia"/>
          <w:color w:val="000000" w:themeColor="text1"/>
          <w:highlight w:val="none"/>
          <w:lang w:eastAsia="zh-CN"/>
        </w:rPr>
        <w:t>县</w:t>
      </w:r>
      <w:r>
        <w:rPr>
          <w:color w:val="000000" w:themeColor="text1"/>
          <w:highlight w:val="none"/>
        </w:rPr>
        <w:t>财政局</w:t>
      </w:r>
      <w:r>
        <w:rPr>
          <w:color w:val="000000" w:themeColor="text1"/>
          <w:spacing w:val="-55"/>
          <w:highlight w:val="none"/>
        </w:rPr>
        <w:t>、</w:t>
      </w:r>
      <w:r>
        <w:rPr>
          <w:rFonts w:hint="eastAsia"/>
          <w:color w:val="000000" w:themeColor="text1"/>
          <w:highlight w:val="none"/>
          <w:lang w:eastAsia="zh-CN"/>
        </w:rPr>
        <w:t>县</w:t>
      </w:r>
      <w:r>
        <w:rPr>
          <w:color w:val="000000" w:themeColor="text1"/>
          <w:highlight w:val="none"/>
        </w:rPr>
        <w:t>人力社保局、</w:t>
      </w:r>
      <w:r>
        <w:rPr>
          <w:rFonts w:hint="eastAsia"/>
          <w:color w:val="000000" w:themeColor="text1"/>
          <w:highlight w:val="none"/>
          <w:lang w:eastAsia="zh-CN"/>
        </w:rPr>
        <w:t>县</w:t>
      </w:r>
      <w:r>
        <w:rPr>
          <w:color w:val="000000" w:themeColor="text1"/>
          <w:highlight w:val="none"/>
        </w:rPr>
        <w:t>建设局</w:t>
      </w:r>
      <w:r>
        <w:rPr>
          <w:color w:val="000000" w:themeColor="text1"/>
          <w:spacing w:val="-29"/>
          <w:highlight w:val="none"/>
        </w:rPr>
        <w:t>、</w:t>
      </w:r>
      <w:r>
        <w:rPr>
          <w:rFonts w:hint="eastAsia"/>
          <w:color w:val="000000" w:themeColor="text1"/>
          <w:highlight w:val="none"/>
          <w:lang w:eastAsia="zh-CN"/>
        </w:rPr>
        <w:t>县</w:t>
      </w:r>
      <w:r>
        <w:rPr>
          <w:color w:val="000000" w:themeColor="text1"/>
          <w:highlight w:val="none"/>
        </w:rPr>
        <w:t>农业农村局</w:t>
      </w:r>
      <w:r>
        <w:rPr>
          <w:color w:val="000000" w:themeColor="text1"/>
          <w:spacing w:val="-27"/>
          <w:highlight w:val="none"/>
        </w:rPr>
        <w:t>、</w:t>
      </w:r>
      <w:r>
        <w:rPr>
          <w:rFonts w:hint="eastAsia"/>
          <w:color w:val="000000" w:themeColor="text1"/>
          <w:highlight w:val="none"/>
          <w:lang w:eastAsia="zh-CN"/>
        </w:rPr>
        <w:t>县</w:t>
      </w:r>
      <w:r>
        <w:rPr>
          <w:color w:val="000000" w:themeColor="text1"/>
          <w:highlight w:val="none"/>
        </w:rPr>
        <w:t>卫生健康局</w:t>
      </w:r>
      <w:r>
        <w:rPr>
          <w:color w:val="000000" w:themeColor="text1"/>
          <w:spacing w:val="-29"/>
          <w:highlight w:val="none"/>
        </w:rPr>
        <w:t>、</w:t>
      </w:r>
      <w:r>
        <w:rPr>
          <w:rFonts w:hint="eastAsia"/>
          <w:color w:val="000000" w:themeColor="text1"/>
          <w:highlight w:val="none"/>
          <w:lang w:eastAsia="zh-CN"/>
        </w:rPr>
        <w:t>县</w:t>
      </w:r>
      <w:r>
        <w:rPr>
          <w:color w:val="000000" w:themeColor="text1"/>
          <w:highlight w:val="none"/>
        </w:rPr>
        <w:t>医疗保障局</w:t>
      </w:r>
      <w:r>
        <w:rPr>
          <w:color w:val="000000" w:themeColor="text1"/>
          <w:spacing w:val="-22"/>
          <w:highlight w:val="none"/>
        </w:rPr>
        <w:t>、</w:t>
      </w:r>
      <w:r>
        <w:rPr>
          <w:rFonts w:hint="eastAsia"/>
          <w:color w:val="000000" w:themeColor="text1"/>
          <w:spacing w:val="-3"/>
          <w:sz w:val="32"/>
          <w:highlight w:val="none"/>
          <w:lang w:eastAsia="zh-CN"/>
        </w:rPr>
        <w:t>县大数据管理中心</w:t>
      </w:r>
      <w:r>
        <w:rPr>
          <w:color w:val="000000" w:themeColor="text1"/>
          <w:spacing w:val="-22"/>
          <w:highlight w:val="none"/>
        </w:rPr>
        <w:t>，</w:t>
      </w:r>
      <w:r>
        <w:rPr>
          <w:color w:val="000000" w:themeColor="text1"/>
          <w:highlight w:val="none"/>
        </w:rPr>
        <w:t>各乡</w:t>
      </w:r>
      <w:r>
        <w:rPr>
          <w:color w:val="000000" w:themeColor="text1"/>
          <w:spacing w:val="-24"/>
          <w:highlight w:val="none"/>
        </w:rPr>
        <w:t>镇</w:t>
      </w:r>
      <w:r>
        <w:rPr>
          <w:color w:val="000000" w:themeColor="text1"/>
          <w:highlight w:val="none"/>
        </w:rPr>
        <w:t>（街道</w:t>
      </w:r>
      <w:r>
        <w:rPr>
          <w:color w:val="000000" w:themeColor="text1"/>
          <w:spacing w:val="-22"/>
          <w:highlight w:val="none"/>
        </w:rPr>
        <w:t>）</w:t>
      </w:r>
      <w:r>
        <w:rPr>
          <w:color w:val="000000" w:themeColor="text1"/>
          <w:highlight w:val="none"/>
        </w:rPr>
        <w:t>主要负责</w:t>
      </w:r>
      <w:r>
        <w:rPr>
          <w:highlight w:val="none"/>
        </w:rPr>
        <w:t>人。</w:t>
      </w:r>
    </w:p>
    <w:p>
      <w:pPr>
        <w:pStyle w:val="3"/>
        <w:spacing w:before="8" w:line="350" w:lineRule="auto"/>
        <w:ind w:left="268" w:right="516" w:firstLine="638"/>
        <w:jc w:val="both"/>
        <w:rPr>
          <w:highlight w:val="none"/>
        </w:rPr>
      </w:pPr>
      <w:r>
        <w:rPr>
          <w:rFonts w:hint="eastAsia"/>
          <w:highlight w:val="none"/>
          <w:lang w:eastAsia="zh-CN"/>
        </w:rPr>
        <w:t>县</w:t>
      </w:r>
      <w:r>
        <w:rPr>
          <w:spacing w:val="-5"/>
          <w:highlight w:val="none"/>
        </w:rPr>
        <w:t>深化基层卫生健康综合改革领导小组下设办公室，领导小</w:t>
      </w:r>
      <w:r>
        <w:rPr>
          <w:spacing w:val="-13"/>
          <w:highlight w:val="none"/>
        </w:rPr>
        <w:t>组副组长兼任办公室主任，</w:t>
      </w:r>
      <w:r>
        <w:rPr>
          <w:rFonts w:hint="eastAsia"/>
          <w:highlight w:val="none"/>
          <w:lang w:eastAsia="zh-CN"/>
        </w:rPr>
        <w:t>县</w:t>
      </w:r>
      <w:r>
        <w:rPr>
          <w:spacing w:val="-13"/>
          <w:highlight w:val="none"/>
        </w:rPr>
        <w:t>卫生健康局主要负责人兼任办公室副主任，具体负责综合改革的组织实施、统筹协调、运行监督、绩效评价等。</w:t>
      </w:r>
    </w:p>
    <w:p>
      <w:pPr>
        <w:pStyle w:val="3"/>
        <w:spacing w:before="6"/>
        <w:ind w:left="907"/>
        <w:jc w:val="both"/>
        <w:rPr>
          <w:highlight w:val="none"/>
        </w:rPr>
      </w:pPr>
      <w:r>
        <w:rPr>
          <w:highlight w:val="none"/>
        </w:rPr>
        <w:t>领导小组组成人员如有职务变动，由接任者自然更替。</w:t>
      </w:r>
    </w:p>
    <w:p>
      <w:pPr>
        <w:pStyle w:val="3"/>
        <w:spacing w:before="6"/>
        <w:ind w:left="907"/>
        <w:jc w:val="both"/>
        <w:rPr>
          <w:highlight w:val="none"/>
        </w:rPr>
      </w:pPr>
    </w:p>
    <w:p>
      <w:pPr>
        <w:pStyle w:val="3"/>
        <w:spacing w:before="6"/>
        <w:ind w:left="907"/>
        <w:jc w:val="both"/>
        <w:rPr>
          <w:highlight w:val="none"/>
        </w:rPr>
      </w:pPr>
    </w:p>
    <w:p>
      <w:pPr>
        <w:pStyle w:val="3"/>
        <w:spacing w:before="6"/>
        <w:ind w:left="907"/>
        <w:jc w:val="both"/>
        <w:rPr>
          <w:highlight w:val="none"/>
        </w:rPr>
      </w:pPr>
    </w:p>
    <w:p>
      <w:pPr>
        <w:pStyle w:val="3"/>
        <w:spacing w:before="6"/>
        <w:ind w:left="907"/>
        <w:jc w:val="both"/>
        <w:rPr>
          <w:highlight w:val="none"/>
        </w:rPr>
      </w:pPr>
    </w:p>
    <w:p>
      <w:pPr>
        <w:pStyle w:val="3"/>
        <w:spacing w:before="6"/>
        <w:ind w:left="907"/>
        <w:jc w:val="both"/>
        <w:rPr>
          <w:highlight w:val="none"/>
        </w:rPr>
      </w:pPr>
    </w:p>
    <w:p>
      <w:pPr>
        <w:pStyle w:val="9"/>
        <w:keepNext w:val="0"/>
        <w:keepLines w:val="0"/>
        <w:pageBreakBefore w:val="0"/>
        <w:widowControl w:val="0"/>
        <w:numPr>
          <w:ilvl w:val="0"/>
          <w:numId w:val="0"/>
        </w:numPr>
        <w:tabs>
          <w:tab w:val="left" w:pos="1336"/>
        </w:tabs>
        <w:kinsoku/>
        <w:wordWrap/>
        <w:overflowPunct/>
        <w:topLinePunct w:val="0"/>
        <w:autoSpaceDE w:val="0"/>
        <w:autoSpaceDN w:val="0"/>
        <w:bidi w:val="0"/>
        <w:adjustRightInd/>
        <w:snapToGrid/>
        <w:spacing w:before="0" w:after="0" w:line="350" w:lineRule="auto"/>
        <w:ind w:right="262" w:rightChars="0"/>
        <w:jc w:val="both"/>
        <w:textAlignment w:val="auto"/>
        <w:rPr>
          <w:rFonts w:hint="eastAsia" w:ascii="仿宋_GB2312" w:hAnsi="仿宋_GB2312" w:eastAsia="仿宋_GB2312" w:cs="仿宋_GB2312"/>
          <w:color w:val="auto"/>
          <w:spacing w:val="3"/>
          <w:sz w:val="32"/>
          <w:szCs w:val="32"/>
          <w:highlight w:val="none"/>
          <w:lang w:val="zh-CN" w:eastAsia="zh-CN" w:bidi="zh-CN"/>
        </w:rPr>
      </w:pPr>
    </w:p>
    <w:p>
      <w:pPr>
        <w:pStyle w:val="3"/>
        <w:spacing w:before="54"/>
        <w:ind w:left="266"/>
        <w:rPr>
          <w:rFonts w:hint="eastAsia" w:ascii="黑体" w:eastAsia="黑体"/>
          <w:highlight w:val="none"/>
          <w:lang w:eastAsia="zh-CN"/>
        </w:rPr>
      </w:pPr>
      <w:r>
        <w:rPr>
          <w:rFonts w:hint="eastAsia" w:ascii="黑体" w:eastAsia="黑体"/>
          <w:highlight w:val="none"/>
        </w:rPr>
        <w:t>附件</w:t>
      </w:r>
      <w:r>
        <w:rPr>
          <w:rFonts w:hint="eastAsia" w:ascii="黑体" w:eastAsia="黑体"/>
          <w:highlight w:val="none"/>
          <w:lang w:val="en-US" w:eastAsia="zh-CN"/>
        </w:rPr>
        <w:t>2</w:t>
      </w:r>
    </w:p>
    <w:p>
      <w:pPr>
        <w:widowControl w:val="0"/>
        <w:autoSpaceDE w:val="0"/>
        <w:autoSpaceDN w:val="0"/>
        <w:spacing w:before="98" w:after="0" w:line="240" w:lineRule="auto"/>
        <w:ind w:left="369" w:right="0"/>
        <w:jc w:val="center"/>
        <w:outlineLvl w:val="1"/>
        <w:rPr>
          <w:rFonts w:ascii="方正小标宋简体" w:hAnsi="方正小标宋简体" w:eastAsia="方正小标宋简体" w:cs="方正小标宋简体"/>
          <w:sz w:val="36"/>
          <w:szCs w:val="36"/>
          <w:highlight w:val="none"/>
          <w:lang w:val="zh-CN" w:eastAsia="zh-CN" w:bidi="zh-CN"/>
        </w:rPr>
      </w:pPr>
      <w:r>
        <w:rPr>
          <w:rFonts w:hint="eastAsia" w:ascii="方正小标宋简体" w:hAnsi="方正小标宋简体" w:eastAsia="方正小标宋简体" w:cs="方正小标宋简体"/>
          <w:sz w:val="36"/>
          <w:szCs w:val="36"/>
          <w:highlight w:val="none"/>
          <w:lang w:val="zh-CN" w:eastAsia="zh-CN" w:bidi="zh-CN"/>
        </w:rPr>
        <w:t>新昌县</w:t>
      </w:r>
      <w:r>
        <w:rPr>
          <w:rFonts w:ascii="方正小标宋简体" w:hAnsi="方正小标宋简体" w:eastAsia="方正小标宋简体" w:cs="方正小标宋简体"/>
          <w:sz w:val="36"/>
          <w:szCs w:val="36"/>
          <w:highlight w:val="none"/>
          <w:lang w:val="zh-CN" w:eastAsia="zh-CN" w:bidi="zh-CN"/>
        </w:rPr>
        <w:t>深化基层卫生健康综合改革重点任务清单</w:t>
      </w:r>
    </w:p>
    <w:p>
      <w:pPr>
        <w:pStyle w:val="2"/>
        <w:rPr>
          <w:highlight w:val="none"/>
          <w:lang w:val="zh-CN" w:eastAsia="zh-CN"/>
        </w:rPr>
      </w:pPr>
    </w:p>
    <w:tbl>
      <w:tblPr>
        <w:tblStyle w:val="5"/>
        <w:tblW w:w="9461" w:type="dxa"/>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005"/>
        <w:gridCol w:w="6135"/>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1" w:type="dxa"/>
            <w:gridSpan w:val="2"/>
            <w:vAlign w:val="center"/>
          </w:tcPr>
          <w:p>
            <w:pPr>
              <w:widowControl w:val="0"/>
              <w:autoSpaceDE w:val="0"/>
              <w:autoSpaceDN w:val="0"/>
              <w:spacing w:before="0" w:after="0" w:line="292" w:lineRule="exact"/>
              <w:ind w:left="368" w:right="0"/>
              <w:jc w:val="both"/>
              <w:rPr>
                <w:rFonts w:ascii="仿宋" w:hAnsi="仿宋" w:eastAsia="仿宋" w:cs="仿宋"/>
                <w:b/>
                <w:sz w:val="24"/>
                <w:szCs w:val="22"/>
                <w:highlight w:val="none"/>
                <w:lang w:val="zh-CN" w:eastAsia="zh-CN" w:bidi="zh-CN"/>
              </w:rPr>
            </w:pPr>
            <w:r>
              <w:rPr>
                <w:rFonts w:ascii="仿宋" w:hAnsi="仿宋" w:eastAsia="仿宋" w:cs="仿宋"/>
                <w:b/>
                <w:sz w:val="24"/>
                <w:szCs w:val="22"/>
                <w:highlight w:val="none"/>
                <w:lang w:val="zh-CN" w:eastAsia="zh-CN" w:bidi="zh-CN"/>
              </w:rPr>
              <w:t>重点任务</w:t>
            </w:r>
          </w:p>
        </w:tc>
        <w:tc>
          <w:tcPr>
            <w:tcW w:w="6135" w:type="dxa"/>
            <w:vAlign w:val="center"/>
          </w:tcPr>
          <w:p>
            <w:pPr>
              <w:widowControl w:val="0"/>
              <w:autoSpaceDE w:val="0"/>
              <w:autoSpaceDN w:val="0"/>
              <w:spacing w:before="0" w:after="0" w:line="292" w:lineRule="exact"/>
              <w:ind w:left="2564" w:right="2556"/>
              <w:jc w:val="both"/>
              <w:rPr>
                <w:rFonts w:ascii="仿宋" w:hAnsi="仿宋" w:eastAsia="仿宋" w:cs="仿宋"/>
                <w:b/>
                <w:sz w:val="24"/>
                <w:szCs w:val="22"/>
                <w:highlight w:val="none"/>
                <w:lang w:val="zh-CN" w:eastAsia="zh-CN" w:bidi="zh-CN"/>
              </w:rPr>
            </w:pPr>
            <w:r>
              <w:rPr>
                <w:rFonts w:ascii="仿宋" w:hAnsi="仿宋" w:eastAsia="仿宋" w:cs="仿宋"/>
                <w:b/>
                <w:sz w:val="24"/>
                <w:szCs w:val="22"/>
                <w:highlight w:val="none"/>
                <w:lang w:val="zh-CN" w:eastAsia="zh-CN" w:bidi="zh-CN"/>
              </w:rPr>
              <w:t>工作内容</w:t>
            </w:r>
          </w:p>
        </w:tc>
        <w:tc>
          <w:tcPr>
            <w:tcW w:w="1625" w:type="dxa"/>
            <w:vAlign w:val="center"/>
          </w:tcPr>
          <w:p>
            <w:pPr>
              <w:widowControl w:val="0"/>
              <w:autoSpaceDE w:val="0"/>
              <w:autoSpaceDN w:val="0"/>
              <w:spacing w:before="0" w:after="0" w:line="292" w:lineRule="exact"/>
              <w:ind w:left="332" w:right="0"/>
              <w:jc w:val="both"/>
              <w:rPr>
                <w:rFonts w:ascii="仿宋" w:hAnsi="仿宋" w:eastAsia="仿宋" w:cs="仿宋"/>
                <w:b/>
                <w:sz w:val="24"/>
                <w:szCs w:val="22"/>
                <w:highlight w:val="none"/>
                <w:lang w:val="zh-CN" w:eastAsia="zh-CN" w:bidi="zh-CN"/>
              </w:rPr>
            </w:pPr>
            <w:r>
              <w:rPr>
                <w:rFonts w:ascii="仿宋" w:hAnsi="仿宋" w:eastAsia="仿宋" w:cs="仿宋"/>
                <w:b/>
                <w:sz w:val="24"/>
                <w:szCs w:val="22"/>
                <w:highlight w:val="none"/>
                <w:lang w:val="zh-CN" w:eastAsia="zh-CN" w:bidi="zh-CN"/>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696" w:type="dxa"/>
            <w:vMerge w:val="restart"/>
          </w:tcPr>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5"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2" w:lineRule="auto"/>
              <w:ind w:left="107" w:right="96"/>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一、打造优质高效基层医疗卫生服务体系</w:t>
            </w:r>
          </w:p>
        </w:tc>
        <w:tc>
          <w:tcPr>
            <w:tcW w:w="1005" w:type="dxa"/>
            <w:vMerge w:val="restart"/>
            <w:vAlign w:val="center"/>
          </w:tcPr>
          <w:p>
            <w:pPr>
              <w:widowControl w:val="0"/>
              <w:autoSpaceDE w:val="0"/>
              <w:autoSpaceDN w:val="0"/>
              <w:spacing w:before="7" w:after="0" w:line="240" w:lineRule="auto"/>
              <w:ind w:left="0" w:right="0"/>
              <w:jc w:val="both"/>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1" w:after="0" w:line="242" w:lineRule="auto"/>
              <w:ind w:left="107" w:right="96"/>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en-US" w:eastAsia="zh-CN" w:bidi="zh-CN"/>
              </w:rPr>
              <w:t>1.</w:t>
            </w:r>
            <w:r>
              <w:rPr>
                <w:rFonts w:hint="eastAsia" w:ascii="仿宋" w:hAnsi="仿宋" w:eastAsia="仿宋" w:cs="仿宋"/>
                <w:color w:val="000000" w:themeColor="text1"/>
                <w:sz w:val="24"/>
                <w:szCs w:val="24"/>
                <w:highlight w:val="none"/>
                <w:lang w:val="zh-CN" w:eastAsia="zh-CN" w:bidi="zh-CN"/>
              </w:rPr>
              <w:t>建设高水平县域医共体</w:t>
            </w:r>
          </w:p>
        </w:tc>
        <w:tc>
          <w:tcPr>
            <w:tcW w:w="6135" w:type="dxa"/>
            <w:vAlign w:val="center"/>
          </w:tcPr>
          <w:p>
            <w:pPr>
              <w:widowControl w:val="0"/>
              <w:autoSpaceDE w:val="0"/>
              <w:autoSpaceDN w:val="0"/>
              <w:spacing w:before="0" w:after="0" w:line="260" w:lineRule="exact"/>
              <w:ind w:left="107" w:right="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围绕全面建设高水平县级医院目标，持续深化县域医共体建设。</w:t>
            </w:r>
          </w:p>
        </w:tc>
        <w:tc>
          <w:tcPr>
            <w:tcW w:w="1625" w:type="dxa"/>
            <w:vMerge w:val="restart"/>
            <w:vAlign w:val="center"/>
          </w:tcPr>
          <w:p>
            <w:pPr>
              <w:widowControl w:val="0"/>
              <w:autoSpaceDE w:val="0"/>
              <w:autoSpaceDN w:val="0"/>
              <w:spacing w:before="3" w:after="0" w:line="240" w:lineRule="auto"/>
              <w:ind w:left="0" w:right="0"/>
              <w:jc w:val="both"/>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18" w:lineRule="auto"/>
              <w:ind w:right="65"/>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县卫生健康局、县财政局、县人力社保局、县医保局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696" w:type="dxa"/>
            <w:vMerge w:val="continue"/>
            <w:tcBorders>
              <w:top w:val="nil"/>
            </w:tcBorders>
          </w:tcPr>
          <w:p>
            <w:pPr>
              <w:jc w:val="left"/>
              <w:rPr>
                <w:rFonts w:hint="eastAsia" w:ascii="仿宋" w:hAnsi="仿宋" w:eastAsia="仿宋" w:cs="仿宋"/>
                <w:color w:val="000000" w:themeColor="text1"/>
                <w:sz w:val="24"/>
                <w:szCs w:val="24"/>
                <w:highlight w:val="none"/>
              </w:rPr>
            </w:pPr>
          </w:p>
        </w:tc>
        <w:tc>
          <w:tcPr>
            <w:tcW w:w="1005" w:type="dxa"/>
            <w:vMerge w:val="continue"/>
            <w:tcBorders>
              <w:top w:val="nil"/>
            </w:tcBorders>
            <w:vAlign w:val="center"/>
          </w:tcPr>
          <w:p>
            <w:pPr>
              <w:jc w:val="both"/>
              <w:rPr>
                <w:rFonts w:hint="eastAsia" w:ascii="仿宋" w:hAnsi="仿宋" w:eastAsia="仿宋" w:cs="仿宋"/>
                <w:color w:val="000000" w:themeColor="text1"/>
                <w:sz w:val="24"/>
                <w:szCs w:val="24"/>
                <w:highlight w:val="none"/>
              </w:rPr>
            </w:pPr>
          </w:p>
        </w:tc>
        <w:tc>
          <w:tcPr>
            <w:tcW w:w="6135" w:type="dxa"/>
            <w:tcBorders>
              <w:bottom w:val="single" w:color="auto" w:sz="4" w:space="0"/>
            </w:tcBorders>
            <w:vAlign w:val="center"/>
          </w:tcPr>
          <w:p>
            <w:pPr>
              <w:widowControl w:val="0"/>
              <w:autoSpaceDE w:val="0"/>
              <w:autoSpaceDN w:val="0"/>
              <w:spacing w:before="0" w:after="0" w:line="267" w:lineRule="exact"/>
              <w:ind w:left="107" w:right="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完善医共体岗位设置、财务管理和绩效分配等制度。</w:t>
            </w:r>
          </w:p>
        </w:tc>
        <w:tc>
          <w:tcPr>
            <w:tcW w:w="1625" w:type="dxa"/>
            <w:vMerge w:val="continue"/>
            <w:vAlign w:val="center"/>
          </w:tcPr>
          <w:p>
            <w:pPr>
              <w:widowControl w:val="0"/>
              <w:autoSpaceDE w:val="0"/>
              <w:autoSpaceDN w:val="0"/>
              <w:spacing w:before="0" w:after="0" w:line="218" w:lineRule="auto"/>
              <w:ind w:left="107" w:right="65"/>
              <w:jc w:val="both"/>
              <w:rPr>
                <w:rFonts w:hint="eastAsia" w:ascii="仿宋" w:hAnsi="仿宋" w:eastAsia="仿宋" w:cs="仿宋"/>
                <w:color w:val="000000" w:themeColor="text1"/>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96" w:type="dxa"/>
            <w:vMerge w:val="continue"/>
            <w:tcBorders>
              <w:top w:val="nil"/>
            </w:tcBorders>
          </w:tcPr>
          <w:p>
            <w:pPr>
              <w:jc w:val="left"/>
              <w:rPr>
                <w:rFonts w:hint="eastAsia" w:ascii="仿宋" w:hAnsi="仿宋" w:eastAsia="仿宋" w:cs="仿宋"/>
                <w:color w:val="000000" w:themeColor="text1"/>
                <w:sz w:val="24"/>
                <w:szCs w:val="24"/>
                <w:highlight w:val="none"/>
              </w:rPr>
            </w:pPr>
          </w:p>
        </w:tc>
        <w:tc>
          <w:tcPr>
            <w:tcW w:w="1005" w:type="dxa"/>
            <w:vMerge w:val="continue"/>
            <w:tcBorders>
              <w:top w:val="nil"/>
            </w:tcBorders>
            <w:vAlign w:val="center"/>
          </w:tcPr>
          <w:p>
            <w:pPr>
              <w:jc w:val="both"/>
              <w:rPr>
                <w:rFonts w:hint="eastAsia" w:ascii="仿宋" w:hAnsi="仿宋" w:eastAsia="仿宋" w:cs="仿宋"/>
                <w:color w:val="000000" w:themeColor="text1"/>
                <w:sz w:val="24"/>
                <w:szCs w:val="24"/>
                <w:highlight w:val="none"/>
              </w:rPr>
            </w:pPr>
          </w:p>
        </w:tc>
        <w:tc>
          <w:tcPr>
            <w:tcW w:w="6135" w:type="dxa"/>
            <w:tcBorders>
              <w:top w:val="single" w:color="auto" w:sz="4" w:space="0"/>
            </w:tcBorders>
            <w:vAlign w:val="center"/>
          </w:tcPr>
          <w:p>
            <w:pPr>
              <w:widowControl w:val="0"/>
              <w:autoSpaceDE w:val="0"/>
              <w:autoSpaceDN w:val="0"/>
              <w:spacing w:before="0" w:after="0" w:line="259" w:lineRule="exact"/>
              <w:ind w:left="107" w:right="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强化医防协同，健全医共体“两员一中心一团队”工作机制，健全医疗机构与疾控、妇幼、监督等专业公共卫生机构密切协作，进一步落实公共卫生职责。</w:t>
            </w:r>
          </w:p>
        </w:tc>
        <w:tc>
          <w:tcPr>
            <w:tcW w:w="1625" w:type="dxa"/>
            <w:vMerge w:val="continue"/>
            <w:vAlign w:val="center"/>
          </w:tcPr>
          <w:p>
            <w:pPr>
              <w:jc w:val="both"/>
              <w:rPr>
                <w:rFonts w:hint="eastAsia" w:ascii="仿宋" w:hAnsi="仿宋" w:eastAsia="仿宋" w:cs="仿宋"/>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696" w:type="dxa"/>
            <w:vMerge w:val="continue"/>
            <w:tcBorders>
              <w:top w:val="nil"/>
            </w:tcBorders>
          </w:tcPr>
          <w:p>
            <w:pPr>
              <w:jc w:val="left"/>
              <w:rPr>
                <w:rFonts w:hint="eastAsia" w:ascii="仿宋" w:hAnsi="仿宋" w:eastAsia="仿宋" w:cs="仿宋"/>
                <w:color w:val="000000" w:themeColor="text1"/>
                <w:sz w:val="24"/>
                <w:szCs w:val="24"/>
                <w:highlight w:val="none"/>
              </w:rPr>
            </w:pPr>
          </w:p>
        </w:tc>
        <w:tc>
          <w:tcPr>
            <w:tcW w:w="1005" w:type="dxa"/>
            <w:vMerge w:val="restart"/>
            <w:vAlign w:val="center"/>
          </w:tcPr>
          <w:p>
            <w:pPr>
              <w:widowControl w:val="0"/>
              <w:autoSpaceDE w:val="0"/>
              <w:autoSpaceDN w:val="0"/>
              <w:spacing w:before="207" w:after="0" w:line="242" w:lineRule="auto"/>
              <w:ind w:left="107" w:right="96"/>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en-US" w:eastAsia="zh-CN" w:bidi="zh-CN"/>
              </w:rPr>
              <w:t>2.</w:t>
            </w:r>
            <w:r>
              <w:rPr>
                <w:rFonts w:hint="eastAsia" w:ascii="仿宋" w:hAnsi="仿宋" w:eastAsia="仿宋" w:cs="仿宋"/>
                <w:color w:val="auto"/>
                <w:sz w:val="24"/>
                <w:szCs w:val="24"/>
                <w:highlight w:val="none"/>
                <w:lang w:val="zh-CN" w:eastAsia="zh-CN" w:bidi="zh-CN"/>
              </w:rPr>
              <w:t>推动基层医疗卫生机构提档升级</w:t>
            </w:r>
          </w:p>
        </w:tc>
        <w:tc>
          <w:tcPr>
            <w:tcW w:w="6135" w:type="dxa"/>
            <w:vAlign w:val="center"/>
          </w:tcPr>
          <w:p>
            <w:pPr>
              <w:widowControl w:val="0"/>
              <w:autoSpaceDE w:val="0"/>
              <w:autoSpaceDN w:val="0"/>
              <w:spacing w:before="0" w:after="0" w:line="218" w:lineRule="auto"/>
              <w:ind w:left="107" w:right="-29"/>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pacing w:val="-14"/>
                <w:sz w:val="24"/>
                <w:szCs w:val="24"/>
                <w:highlight w:val="none"/>
                <w:lang w:val="zh-CN" w:eastAsia="zh-CN" w:bidi="zh-CN"/>
              </w:rPr>
              <w:t>深入开展“优质服务基层行”活动，100</w:t>
            </w:r>
            <w:r>
              <w:rPr>
                <w:rFonts w:hint="eastAsia" w:ascii="仿宋" w:hAnsi="仿宋" w:eastAsia="仿宋" w:cs="仿宋"/>
                <w:color w:val="auto"/>
                <w:spacing w:val="-4"/>
                <w:sz w:val="24"/>
                <w:szCs w:val="24"/>
                <w:highlight w:val="none"/>
                <w:lang w:val="zh-CN" w:eastAsia="zh-CN" w:bidi="zh-CN"/>
              </w:rPr>
              <w:t>%的乡镇卫生院(社</w:t>
            </w:r>
            <w:r>
              <w:rPr>
                <w:rFonts w:hint="eastAsia" w:ascii="仿宋" w:hAnsi="仿宋" w:eastAsia="仿宋" w:cs="仿宋"/>
                <w:color w:val="auto"/>
                <w:spacing w:val="-20"/>
                <w:sz w:val="24"/>
                <w:szCs w:val="24"/>
                <w:highlight w:val="none"/>
                <w:lang w:val="zh-CN" w:eastAsia="zh-CN" w:bidi="zh-CN"/>
              </w:rPr>
              <w:t>区卫生服务中心)达到“基本标准”，</w:t>
            </w:r>
            <w:r>
              <w:rPr>
                <w:rFonts w:hint="eastAsia" w:ascii="仿宋" w:hAnsi="仿宋" w:eastAsia="仿宋" w:cs="仿宋"/>
                <w:color w:val="auto"/>
                <w:spacing w:val="-3"/>
                <w:sz w:val="24"/>
                <w:szCs w:val="24"/>
                <w:highlight w:val="none"/>
                <w:lang w:val="zh-CN" w:eastAsia="zh-CN" w:bidi="zh-CN"/>
              </w:rPr>
              <w:t>4</w:t>
            </w:r>
            <w:r>
              <w:rPr>
                <w:rFonts w:hint="eastAsia" w:ascii="仿宋" w:hAnsi="仿宋" w:eastAsia="仿宋" w:cs="仿宋"/>
                <w:color w:val="auto"/>
                <w:sz w:val="24"/>
                <w:szCs w:val="24"/>
                <w:highlight w:val="none"/>
                <w:lang w:val="zh-CN" w:eastAsia="zh-CN" w:bidi="zh-CN"/>
              </w:rPr>
              <w:t>0</w:t>
            </w:r>
            <w:r>
              <w:rPr>
                <w:rFonts w:hint="eastAsia" w:ascii="仿宋" w:hAnsi="仿宋" w:eastAsia="仿宋" w:cs="仿宋"/>
                <w:color w:val="auto"/>
                <w:spacing w:val="-21"/>
                <w:sz w:val="24"/>
                <w:szCs w:val="24"/>
                <w:highlight w:val="none"/>
                <w:lang w:val="zh-CN" w:eastAsia="zh-CN" w:bidi="zh-CN"/>
              </w:rPr>
              <w:t>%达到“推荐标准”，</w:t>
            </w:r>
          </w:p>
          <w:p>
            <w:pPr>
              <w:widowControl w:val="0"/>
              <w:autoSpaceDE w:val="0"/>
              <w:autoSpaceDN w:val="0"/>
              <w:spacing w:before="0" w:after="0" w:line="266" w:lineRule="exact"/>
              <w:ind w:left="107" w:right="0"/>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20%建成社区医院或达二级综合医院医疗服务能力水平。</w:t>
            </w:r>
          </w:p>
        </w:tc>
        <w:tc>
          <w:tcPr>
            <w:tcW w:w="1625" w:type="dxa"/>
            <w:vMerge w:val="restart"/>
            <w:vAlign w:val="center"/>
          </w:tcPr>
          <w:p>
            <w:pPr>
              <w:widowControl w:val="0"/>
              <w:autoSpaceDE w:val="0"/>
              <w:autoSpaceDN w:val="0"/>
              <w:spacing w:before="3" w:after="0" w:line="240" w:lineRule="auto"/>
              <w:ind w:left="0" w:right="0"/>
              <w:jc w:val="both"/>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1" w:after="0" w:line="218" w:lineRule="auto"/>
              <w:ind w:left="107" w:right="65"/>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县卫生健康局、县财政局，各乡镇街道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696" w:type="dxa"/>
            <w:vMerge w:val="continue"/>
            <w:tcBorders>
              <w:top w:val="nil"/>
            </w:tcBorders>
          </w:tcPr>
          <w:p>
            <w:pPr>
              <w:jc w:val="left"/>
              <w:rPr>
                <w:rFonts w:hint="eastAsia" w:ascii="仿宋" w:hAnsi="仿宋" w:eastAsia="仿宋" w:cs="仿宋"/>
                <w:color w:val="000000" w:themeColor="text1"/>
                <w:sz w:val="24"/>
                <w:szCs w:val="24"/>
                <w:highlight w:val="none"/>
              </w:rPr>
            </w:pPr>
          </w:p>
        </w:tc>
        <w:tc>
          <w:tcPr>
            <w:tcW w:w="1005" w:type="dxa"/>
            <w:vMerge w:val="continue"/>
            <w:tcBorders>
              <w:top w:val="nil"/>
            </w:tcBorders>
            <w:vAlign w:val="center"/>
          </w:tcPr>
          <w:p>
            <w:pPr>
              <w:jc w:val="both"/>
              <w:rPr>
                <w:rFonts w:hint="eastAsia" w:ascii="仿宋" w:hAnsi="仿宋" w:eastAsia="仿宋" w:cs="仿宋"/>
                <w:color w:val="auto"/>
                <w:sz w:val="24"/>
                <w:szCs w:val="24"/>
                <w:highlight w:val="none"/>
              </w:rPr>
            </w:pPr>
          </w:p>
        </w:tc>
        <w:tc>
          <w:tcPr>
            <w:tcW w:w="6135" w:type="dxa"/>
            <w:vAlign w:val="center"/>
          </w:tcPr>
          <w:p>
            <w:pPr>
              <w:widowControl w:val="0"/>
              <w:autoSpaceDE w:val="0"/>
              <w:autoSpaceDN w:val="0"/>
              <w:spacing w:before="0" w:after="0" w:line="260" w:lineRule="exact"/>
              <w:ind w:left="107" w:right="0"/>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推进医共体分院实施以心脑血管、康复、护理、长期照护、安宁疗护等为主的联合病房，医共体实行垂直管理。</w:t>
            </w:r>
          </w:p>
        </w:tc>
        <w:tc>
          <w:tcPr>
            <w:tcW w:w="1625" w:type="dxa"/>
            <w:vMerge w:val="continue"/>
            <w:tcBorders>
              <w:top w:val="nil"/>
            </w:tcBorders>
            <w:vAlign w:val="center"/>
          </w:tcPr>
          <w:p>
            <w:pPr>
              <w:jc w:val="both"/>
              <w:rPr>
                <w:rFonts w:hint="eastAsia" w:ascii="仿宋" w:hAnsi="仿宋" w:eastAsia="仿宋" w:cs="仿宋"/>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696" w:type="dxa"/>
            <w:vMerge w:val="continue"/>
            <w:tcBorders>
              <w:top w:val="nil"/>
            </w:tcBorders>
          </w:tcPr>
          <w:p>
            <w:pPr>
              <w:jc w:val="left"/>
              <w:rPr>
                <w:rFonts w:hint="eastAsia" w:ascii="仿宋" w:hAnsi="仿宋" w:eastAsia="仿宋" w:cs="仿宋"/>
                <w:color w:val="000000" w:themeColor="text1"/>
                <w:sz w:val="24"/>
                <w:szCs w:val="24"/>
                <w:highlight w:val="none"/>
              </w:rPr>
            </w:pPr>
          </w:p>
        </w:tc>
        <w:tc>
          <w:tcPr>
            <w:tcW w:w="1005" w:type="dxa"/>
            <w:vMerge w:val="continue"/>
            <w:tcBorders>
              <w:top w:val="nil"/>
            </w:tcBorders>
            <w:vAlign w:val="center"/>
          </w:tcPr>
          <w:p>
            <w:pPr>
              <w:jc w:val="both"/>
              <w:rPr>
                <w:rFonts w:hint="eastAsia" w:ascii="仿宋" w:hAnsi="仿宋" w:eastAsia="仿宋" w:cs="仿宋"/>
                <w:color w:val="auto"/>
                <w:sz w:val="24"/>
                <w:szCs w:val="24"/>
                <w:highlight w:val="none"/>
              </w:rPr>
            </w:pPr>
          </w:p>
        </w:tc>
        <w:tc>
          <w:tcPr>
            <w:tcW w:w="6135" w:type="dxa"/>
            <w:vAlign w:val="center"/>
          </w:tcPr>
          <w:p>
            <w:pPr>
              <w:widowControl w:val="0"/>
              <w:autoSpaceDE w:val="0"/>
              <w:autoSpaceDN w:val="0"/>
              <w:spacing w:before="0" w:after="0" w:line="266" w:lineRule="exact"/>
              <w:ind w:left="107" w:right="0"/>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深化基层名医工作室和基层特色科室建设，基层名医名科建设覆盖率达到80%以上。</w:t>
            </w:r>
          </w:p>
        </w:tc>
        <w:tc>
          <w:tcPr>
            <w:tcW w:w="1625" w:type="dxa"/>
            <w:vAlign w:val="center"/>
          </w:tcPr>
          <w:p>
            <w:pPr>
              <w:widowControl w:val="0"/>
              <w:autoSpaceDE w:val="0"/>
              <w:autoSpaceDN w:val="0"/>
              <w:spacing w:before="119" w:after="0" w:line="240" w:lineRule="auto"/>
              <w:ind w:left="107" w:right="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696" w:type="dxa"/>
            <w:vMerge w:val="continue"/>
            <w:tcBorders>
              <w:top w:val="nil"/>
            </w:tcBorders>
          </w:tcPr>
          <w:p>
            <w:pPr>
              <w:jc w:val="left"/>
              <w:rPr>
                <w:rFonts w:hint="eastAsia" w:ascii="仿宋" w:hAnsi="仿宋" w:eastAsia="仿宋" w:cs="仿宋"/>
                <w:color w:val="000000" w:themeColor="text1"/>
                <w:sz w:val="24"/>
                <w:szCs w:val="24"/>
                <w:highlight w:val="none"/>
              </w:rPr>
            </w:pPr>
          </w:p>
        </w:tc>
        <w:tc>
          <w:tcPr>
            <w:tcW w:w="1005" w:type="dxa"/>
            <w:vMerge w:val="restart"/>
            <w:vAlign w:val="center"/>
          </w:tcPr>
          <w:p>
            <w:pPr>
              <w:widowControl w:val="0"/>
              <w:autoSpaceDE w:val="0"/>
              <w:autoSpaceDN w:val="0"/>
              <w:spacing w:before="11" w:after="0" w:line="240" w:lineRule="auto"/>
              <w:ind w:left="0" w:right="0"/>
              <w:jc w:val="both"/>
              <w:rPr>
                <w:rFonts w:hint="eastAsia" w:ascii="仿宋" w:hAnsi="仿宋" w:eastAsia="仿宋" w:cs="仿宋"/>
                <w:color w:val="auto"/>
                <w:sz w:val="24"/>
                <w:szCs w:val="24"/>
                <w:highlight w:val="none"/>
                <w:lang w:val="zh-CN" w:eastAsia="zh-CN" w:bidi="zh-CN"/>
              </w:rPr>
            </w:pPr>
          </w:p>
          <w:p>
            <w:pPr>
              <w:widowControl w:val="0"/>
              <w:autoSpaceDE w:val="0"/>
              <w:autoSpaceDN w:val="0"/>
              <w:spacing w:before="1" w:after="0" w:line="242" w:lineRule="auto"/>
              <w:ind w:left="107" w:right="96"/>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en-US" w:eastAsia="zh-CN" w:bidi="zh-CN"/>
              </w:rPr>
              <w:t>3.</w:t>
            </w:r>
            <w:r>
              <w:rPr>
                <w:rFonts w:hint="eastAsia" w:ascii="仿宋" w:hAnsi="仿宋" w:eastAsia="仿宋" w:cs="仿宋"/>
                <w:color w:val="auto"/>
                <w:sz w:val="24"/>
                <w:szCs w:val="24"/>
                <w:highlight w:val="none"/>
                <w:lang w:val="zh-CN" w:eastAsia="zh-CN" w:bidi="zh-CN"/>
              </w:rPr>
              <w:t>筑牢村级医疗卫生服务“网底”</w:t>
            </w:r>
          </w:p>
        </w:tc>
        <w:tc>
          <w:tcPr>
            <w:tcW w:w="6135" w:type="dxa"/>
            <w:vAlign w:val="center"/>
          </w:tcPr>
          <w:p>
            <w:pPr>
              <w:widowControl w:val="0"/>
              <w:autoSpaceDE w:val="0"/>
              <w:autoSpaceDN w:val="0"/>
              <w:spacing w:before="0" w:after="0" w:line="266" w:lineRule="exact"/>
              <w:ind w:left="107" w:right="0"/>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组织实施村级医疗卫生服务体系优化提升行动，打造农村20分钟医疗卫生服务圈，确保群众就近就便享受基本医疗卫生服务。</w:t>
            </w:r>
          </w:p>
        </w:tc>
        <w:tc>
          <w:tcPr>
            <w:tcW w:w="1625" w:type="dxa"/>
            <w:vMerge w:val="restart"/>
            <w:vAlign w:val="center"/>
          </w:tcPr>
          <w:p>
            <w:pPr>
              <w:widowControl w:val="0"/>
              <w:autoSpaceDE w:val="0"/>
              <w:autoSpaceDN w:val="0"/>
              <w:spacing w:before="0" w:after="0" w:line="266" w:lineRule="exact"/>
              <w:ind w:left="107" w:right="0"/>
              <w:jc w:val="both"/>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66" w:lineRule="exact"/>
              <w:ind w:left="107" w:right="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县卫生健康局、县发改局、县财政局、县人力社保局、县农业农村局、县医保局，各乡镇街道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96" w:type="dxa"/>
            <w:vMerge w:val="continue"/>
            <w:tcBorders>
              <w:top w:val="nil"/>
            </w:tcBorders>
          </w:tcPr>
          <w:p>
            <w:pPr>
              <w:jc w:val="left"/>
              <w:rPr>
                <w:rFonts w:hint="eastAsia" w:ascii="仿宋" w:hAnsi="仿宋" w:eastAsia="仿宋" w:cs="仿宋"/>
                <w:color w:val="000000" w:themeColor="text1"/>
                <w:sz w:val="24"/>
                <w:szCs w:val="24"/>
                <w:highlight w:val="none"/>
              </w:rPr>
            </w:pPr>
          </w:p>
        </w:tc>
        <w:tc>
          <w:tcPr>
            <w:tcW w:w="1005" w:type="dxa"/>
            <w:vMerge w:val="continue"/>
            <w:tcBorders>
              <w:top w:val="nil"/>
            </w:tcBorders>
            <w:vAlign w:val="center"/>
          </w:tcPr>
          <w:p>
            <w:pPr>
              <w:jc w:val="both"/>
              <w:rPr>
                <w:rFonts w:hint="eastAsia" w:ascii="仿宋" w:hAnsi="仿宋" w:eastAsia="仿宋" w:cs="仿宋"/>
                <w:color w:val="auto"/>
                <w:sz w:val="24"/>
                <w:szCs w:val="24"/>
                <w:highlight w:val="none"/>
              </w:rPr>
            </w:pPr>
          </w:p>
        </w:tc>
        <w:tc>
          <w:tcPr>
            <w:tcW w:w="6135" w:type="dxa"/>
            <w:vAlign w:val="center"/>
          </w:tcPr>
          <w:p>
            <w:pPr>
              <w:widowControl w:val="0"/>
              <w:autoSpaceDE w:val="0"/>
              <w:autoSpaceDN w:val="0"/>
              <w:spacing w:before="119" w:after="0" w:line="240" w:lineRule="auto"/>
              <w:ind w:left="107" w:right="0"/>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逐年推进有条件的村开展党务、政务、商务、服务、医务“五务合一”试点，进一步优化推进适当发展村和转型发展村医疗卫生服务能力建设，实现村级医疗卫生服务网点有效覆盖、规范覆盖。</w:t>
            </w:r>
          </w:p>
        </w:tc>
        <w:tc>
          <w:tcPr>
            <w:tcW w:w="1625" w:type="dxa"/>
            <w:vMerge w:val="continue"/>
            <w:vAlign w:val="center"/>
          </w:tcPr>
          <w:p>
            <w:pPr>
              <w:widowControl w:val="0"/>
              <w:autoSpaceDE w:val="0"/>
              <w:autoSpaceDN w:val="0"/>
              <w:spacing w:before="0" w:after="0" w:line="274" w:lineRule="exact"/>
              <w:ind w:left="107" w:right="0"/>
              <w:jc w:val="both"/>
              <w:rPr>
                <w:rFonts w:hint="eastAsia" w:ascii="仿宋" w:hAnsi="仿宋" w:eastAsia="仿宋" w:cs="仿宋"/>
                <w:color w:val="000000" w:themeColor="text1"/>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696" w:type="dxa"/>
            <w:vMerge w:val="continue"/>
            <w:tcBorders>
              <w:top w:val="nil"/>
              <w:bottom w:val="single" w:color="auto" w:sz="4" w:space="0"/>
            </w:tcBorders>
          </w:tcPr>
          <w:p>
            <w:pPr>
              <w:jc w:val="left"/>
              <w:rPr>
                <w:rFonts w:hint="eastAsia" w:ascii="仿宋" w:hAnsi="仿宋" w:eastAsia="仿宋" w:cs="仿宋"/>
                <w:color w:val="000000" w:themeColor="text1"/>
                <w:sz w:val="24"/>
                <w:szCs w:val="24"/>
                <w:highlight w:val="none"/>
              </w:rPr>
            </w:pPr>
          </w:p>
        </w:tc>
        <w:tc>
          <w:tcPr>
            <w:tcW w:w="1005" w:type="dxa"/>
            <w:vMerge w:val="continue"/>
            <w:tcBorders>
              <w:top w:val="nil"/>
              <w:bottom w:val="single" w:color="auto" w:sz="4" w:space="0"/>
            </w:tcBorders>
            <w:vAlign w:val="center"/>
          </w:tcPr>
          <w:p>
            <w:pPr>
              <w:jc w:val="both"/>
              <w:rPr>
                <w:rFonts w:hint="eastAsia" w:ascii="仿宋" w:hAnsi="仿宋" w:eastAsia="仿宋" w:cs="仿宋"/>
                <w:color w:val="auto"/>
                <w:sz w:val="24"/>
                <w:szCs w:val="24"/>
                <w:highlight w:val="none"/>
              </w:rPr>
            </w:pPr>
          </w:p>
        </w:tc>
        <w:tc>
          <w:tcPr>
            <w:tcW w:w="6135" w:type="dxa"/>
            <w:tcBorders>
              <w:bottom w:val="single" w:color="auto" w:sz="4" w:space="0"/>
            </w:tcBorders>
            <w:vAlign w:val="center"/>
          </w:tcPr>
          <w:p>
            <w:pPr>
              <w:widowControl w:val="0"/>
              <w:autoSpaceDE w:val="0"/>
              <w:autoSpaceDN w:val="0"/>
              <w:spacing w:before="0" w:after="0" w:line="266" w:lineRule="exact"/>
              <w:ind w:left="107" w:right="0"/>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加强医疗卫生用房保障，村卫生室（社区卫生服务站）的服务用房由属地乡镇（街道）、村免费提供或改造。</w:t>
            </w:r>
          </w:p>
        </w:tc>
        <w:tc>
          <w:tcPr>
            <w:tcW w:w="1625" w:type="dxa"/>
            <w:vMerge w:val="continue"/>
            <w:vAlign w:val="center"/>
          </w:tcPr>
          <w:p>
            <w:pPr>
              <w:widowControl w:val="0"/>
              <w:autoSpaceDE w:val="0"/>
              <w:autoSpaceDN w:val="0"/>
              <w:spacing w:before="0" w:after="0" w:line="266" w:lineRule="exact"/>
              <w:ind w:left="107" w:right="0"/>
              <w:jc w:val="both"/>
              <w:rPr>
                <w:rFonts w:hint="eastAsia" w:ascii="仿宋" w:hAnsi="仿宋" w:eastAsia="仿宋" w:cs="仿宋"/>
                <w:color w:val="000000" w:themeColor="text1"/>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696" w:type="dxa"/>
            <w:vMerge w:val="restar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95" w:after="0" w:line="242" w:lineRule="auto"/>
              <w:ind w:left="107" w:right="96"/>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en-US" w:eastAsia="zh-CN" w:bidi="zh-CN"/>
              </w:rPr>
              <w:t>1.</w:t>
            </w:r>
            <w:r>
              <w:rPr>
                <w:rFonts w:hint="eastAsia" w:ascii="仿宋" w:hAnsi="仿宋" w:eastAsia="仿宋" w:cs="仿宋"/>
                <w:color w:val="auto"/>
                <w:sz w:val="24"/>
                <w:szCs w:val="24"/>
                <w:highlight w:val="none"/>
                <w:lang w:val="zh-CN" w:eastAsia="zh-CN" w:bidi="zh-CN"/>
              </w:rPr>
              <w:t>深化基本公共卫生服务</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0" w:after="0" w:line="267" w:lineRule="exact"/>
              <w:ind w:left="107" w:right="0"/>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逐年提高人均基本公共卫生服务经费财政补助标准，持续优化按标化工作当量购买基本公共卫生服务方案。</w:t>
            </w:r>
          </w:p>
        </w:tc>
        <w:tc>
          <w:tcPr>
            <w:tcW w:w="1625" w:type="dxa"/>
            <w:vMerge w:val="restart"/>
            <w:tcBorders>
              <w:left w:val="single" w:color="auto" w:sz="4" w:space="0"/>
            </w:tcBorders>
            <w:vAlign w:val="center"/>
          </w:tcPr>
          <w:p>
            <w:pPr>
              <w:widowControl w:val="0"/>
              <w:autoSpaceDE w:val="0"/>
              <w:autoSpaceDN w:val="0"/>
              <w:spacing w:before="0" w:after="0" w:line="265" w:lineRule="exact"/>
              <w:ind w:left="107" w:right="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5"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120" w:after="0" w:line="240" w:lineRule="auto"/>
              <w:ind w:left="107" w:right="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实施重点人群健康关爱工程，以高血压、糖尿病等慢性病全周期健康管理为突破口，推进医防融合，高血压、糖尿病患者规范管理率70%以上。</w:t>
            </w:r>
          </w:p>
        </w:tc>
        <w:tc>
          <w:tcPr>
            <w:tcW w:w="1625" w:type="dxa"/>
            <w:vMerge w:val="continue"/>
            <w:tcBorders>
              <w:left w:val="single" w:color="auto" w:sz="4" w:space="0"/>
            </w:tcBorders>
            <w:vAlign w:val="center"/>
          </w:tcPr>
          <w:p>
            <w:pPr>
              <w:widowControl w:val="0"/>
              <w:autoSpaceDE w:val="0"/>
              <w:autoSpaceDN w:val="0"/>
              <w:spacing w:before="0" w:after="0" w:line="265" w:lineRule="exact"/>
              <w:ind w:left="107" w:right="0"/>
              <w:jc w:val="both"/>
              <w:rPr>
                <w:rFonts w:hint="eastAsia" w:ascii="仿宋" w:hAnsi="仿宋" w:eastAsia="仿宋" w:cs="仿宋"/>
                <w:color w:val="000000" w:themeColor="text1"/>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5"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120" w:after="0" w:line="240" w:lineRule="auto"/>
              <w:ind w:left="107" w:right="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基层医疗卫生机构门诊就诊率65%以上。</w:t>
            </w:r>
          </w:p>
        </w:tc>
        <w:tc>
          <w:tcPr>
            <w:tcW w:w="1625" w:type="dxa"/>
            <w:tcBorders>
              <w:left w:val="single" w:color="auto" w:sz="4" w:space="0"/>
            </w:tcBorders>
            <w:vAlign w:val="center"/>
          </w:tcPr>
          <w:p>
            <w:pPr>
              <w:widowControl w:val="0"/>
              <w:autoSpaceDE w:val="0"/>
              <w:autoSpaceDN w:val="0"/>
              <w:spacing w:before="0" w:after="0" w:line="265" w:lineRule="exact"/>
              <w:ind w:left="107" w:right="0"/>
              <w:jc w:val="both"/>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65" w:lineRule="exact"/>
              <w:ind w:right="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5"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120" w:after="0" w:line="240" w:lineRule="auto"/>
              <w:ind w:left="107" w:right="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健全由医共体总院专科医生、分院全科医生共同组建“全专联合”家庭医生团队，建立家庭医生签约服务工作新机制，提升家庭医生签约服务质量。</w:t>
            </w:r>
          </w:p>
        </w:tc>
        <w:tc>
          <w:tcPr>
            <w:tcW w:w="1625" w:type="dxa"/>
            <w:tcBorders>
              <w:left w:val="single" w:color="auto" w:sz="4" w:space="0"/>
            </w:tcBorders>
            <w:vAlign w:val="center"/>
          </w:tcPr>
          <w:p>
            <w:pPr>
              <w:widowControl w:val="0"/>
              <w:autoSpaceDE w:val="0"/>
              <w:autoSpaceDN w:val="0"/>
              <w:spacing w:before="0" w:after="0" w:line="265" w:lineRule="exact"/>
              <w:ind w:left="107" w:right="0"/>
              <w:jc w:val="both"/>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65" w:lineRule="exact"/>
              <w:ind w:right="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w:t>
            </w:r>
          </w:p>
        </w:tc>
      </w:tr>
    </w:tbl>
    <w:p>
      <w:pPr>
        <w:pStyle w:val="3"/>
        <w:spacing w:before="5"/>
        <w:jc w:val="left"/>
        <w:rPr>
          <w:rFonts w:hint="eastAsia" w:ascii="仿宋" w:hAnsi="仿宋" w:eastAsia="仿宋" w:cs="仿宋"/>
          <w:color w:val="000000" w:themeColor="text1"/>
          <w:sz w:val="24"/>
          <w:szCs w:val="24"/>
          <w:highlight w:val="none"/>
        </w:rPr>
      </w:pPr>
    </w:p>
    <w:tbl>
      <w:tblPr>
        <w:tblStyle w:val="5"/>
        <w:tblW w:w="9461" w:type="dxa"/>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001"/>
        <w:gridCol w:w="6133"/>
        <w:gridCol w:w="1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1697" w:type="dxa"/>
            <w:gridSpan w:val="2"/>
            <w:tcBorders>
              <w:bottom w:val="single" w:color="auto" w:sz="4" w:space="0"/>
            </w:tcBorders>
            <w:vAlign w:val="center"/>
          </w:tcPr>
          <w:p>
            <w:pPr>
              <w:widowControl w:val="0"/>
              <w:autoSpaceDE w:val="0"/>
              <w:autoSpaceDN w:val="0"/>
              <w:spacing w:before="14" w:after="0" w:line="302" w:lineRule="exact"/>
              <w:ind w:left="368" w:right="0"/>
              <w:jc w:val="both"/>
              <w:rPr>
                <w:rFonts w:hint="eastAsia" w:ascii="仿宋" w:hAnsi="仿宋" w:eastAsia="仿宋" w:cs="仿宋"/>
                <w:b/>
                <w:color w:val="000000" w:themeColor="text1"/>
                <w:sz w:val="24"/>
                <w:szCs w:val="24"/>
                <w:highlight w:val="none"/>
                <w:lang w:val="zh-CN" w:eastAsia="zh-CN" w:bidi="zh-CN"/>
              </w:rPr>
            </w:pPr>
            <w:r>
              <w:rPr>
                <w:rFonts w:hint="eastAsia" w:ascii="仿宋" w:hAnsi="仿宋" w:eastAsia="仿宋" w:cs="仿宋"/>
                <w:b/>
                <w:color w:val="000000" w:themeColor="text1"/>
                <w:sz w:val="24"/>
                <w:szCs w:val="24"/>
                <w:highlight w:val="none"/>
                <w:lang w:val="zh-CN" w:eastAsia="zh-CN" w:bidi="zh-CN"/>
              </w:rPr>
              <w:t>重点任务</w:t>
            </w:r>
          </w:p>
        </w:tc>
        <w:tc>
          <w:tcPr>
            <w:tcW w:w="6133" w:type="dxa"/>
            <w:tcBorders>
              <w:bottom w:val="single" w:color="auto" w:sz="4" w:space="0"/>
            </w:tcBorders>
            <w:vAlign w:val="center"/>
          </w:tcPr>
          <w:p>
            <w:pPr>
              <w:widowControl w:val="0"/>
              <w:autoSpaceDE w:val="0"/>
              <w:autoSpaceDN w:val="0"/>
              <w:spacing w:before="3" w:after="0" w:line="240" w:lineRule="auto"/>
              <w:ind w:right="2552"/>
              <w:jc w:val="center"/>
              <w:rPr>
                <w:rFonts w:hint="eastAsia" w:ascii="仿宋" w:hAnsi="仿宋" w:eastAsia="仿宋" w:cs="仿宋"/>
                <w:b/>
                <w:color w:val="000000" w:themeColor="text1"/>
                <w:sz w:val="24"/>
                <w:szCs w:val="24"/>
                <w:highlight w:val="none"/>
                <w:lang w:val="zh-CN" w:eastAsia="zh-CN" w:bidi="zh-CN"/>
              </w:rPr>
            </w:pPr>
            <w:r>
              <w:rPr>
                <w:rFonts w:hint="eastAsia" w:ascii="仿宋" w:hAnsi="仿宋" w:eastAsia="仿宋" w:cs="仿宋"/>
                <w:b/>
                <w:color w:val="000000" w:themeColor="text1"/>
                <w:sz w:val="24"/>
                <w:szCs w:val="24"/>
                <w:highlight w:val="none"/>
                <w:lang w:val="en-US" w:eastAsia="zh-CN" w:bidi="zh-CN"/>
              </w:rPr>
              <w:t xml:space="preserve">                 </w:t>
            </w:r>
            <w:r>
              <w:rPr>
                <w:rFonts w:hint="eastAsia" w:ascii="仿宋" w:hAnsi="仿宋" w:eastAsia="仿宋" w:cs="仿宋"/>
                <w:b/>
                <w:color w:val="000000" w:themeColor="text1"/>
                <w:sz w:val="24"/>
                <w:szCs w:val="24"/>
                <w:highlight w:val="none"/>
                <w:lang w:val="zh-CN" w:eastAsia="zh-CN" w:bidi="zh-CN"/>
              </w:rPr>
              <w:t>工作内容</w:t>
            </w:r>
          </w:p>
        </w:tc>
        <w:tc>
          <w:tcPr>
            <w:tcW w:w="1631" w:type="dxa"/>
            <w:tcBorders>
              <w:bottom w:val="single" w:color="auto" w:sz="4" w:space="0"/>
            </w:tcBorders>
            <w:vAlign w:val="center"/>
          </w:tcPr>
          <w:p>
            <w:pPr>
              <w:widowControl w:val="0"/>
              <w:autoSpaceDE w:val="0"/>
              <w:autoSpaceDN w:val="0"/>
              <w:spacing w:before="3" w:after="0" w:line="240" w:lineRule="auto"/>
              <w:ind w:left="0" w:right="325"/>
              <w:jc w:val="both"/>
              <w:rPr>
                <w:rFonts w:hint="eastAsia" w:ascii="仿宋" w:hAnsi="仿宋" w:eastAsia="仿宋" w:cs="仿宋"/>
                <w:b/>
                <w:color w:val="000000" w:themeColor="text1"/>
                <w:sz w:val="24"/>
                <w:szCs w:val="24"/>
                <w:highlight w:val="none"/>
                <w:lang w:val="zh-CN" w:eastAsia="zh-CN" w:bidi="zh-CN"/>
              </w:rPr>
            </w:pPr>
            <w:r>
              <w:rPr>
                <w:rFonts w:hint="eastAsia" w:ascii="仿宋" w:hAnsi="仿宋" w:eastAsia="仿宋" w:cs="仿宋"/>
                <w:b/>
                <w:color w:val="000000" w:themeColor="text1"/>
                <w:w w:val="95"/>
                <w:sz w:val="24"/>
                <w:szCs w:val="24"/>
                <w:highlight w:val="none"/>
                <w:lang w:val="zh-CN" w:eastAsia="zh-CN" w:bidi="zh-CN"/>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trPr>
        <w:tc>
          <w:tcPr>
            <w:tcW w:w="696"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208" w:after="0" w:line="242" w:lineRule="auto"/>
              <w:ind w:left="107" w:right="96"/>
              <w:jc w:val="left"/>
              <w:rPr>
                <w:rFonts w:hint="eastAsia" w:ascii="仿宋" w:hAnsi="仿宋" w:eastAsia="仿宋" w:cs="仿宋"/>
                <w:color w:val="000000" w:themeColor="text1"/>
                <w:sz w:val="24"/>
                <w:szCs w:val="24"/>
                <w:highlight w:val="none"/>
                <w:lang w:val="zh-CN" w:eastAsia="zh-CN" w:bidi="zh-CN"/>
              </w:rPr>
            </w:pPr>
          </w:p>
        </w:tc>
        <w:tc>
          <w:tcPr>
            <w:tcW w:w="1001"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179" w:after="0" w:line="242" w:lineRule="auto"/>
              <w:ind w:left="107" w:right="96"/>
              <w:jc w:val="left"/>
              <w:rPr>
                <w:rFonts w:hint="eastAsia" w:ascii="仿宋" w:hAnsi="仿宋" w:eastAsia="仿宋" w:cs="仿宋"/>
                <w:color w:val="000000" w:themeColor="text1"/>
                <w:sz w:val="24"/>
                <w:szCs w:val="24"/>
                <w:highlight w:val="none"/>
                <w:lang w:val="en-US" w:eastAsia="zh-CN" w:bidi="zh-CN"/>
              </w:rPr>
            </w:pP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120" w:after="0" w:line="240" w:lineRule="auto"/>
              <w:ind w:left="107" w:leftChars="0" w:right="0"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推进“互联网+签约服务”，家庭医生签约覆盖率达到50%以上，居民对社区卫生服务的满意度达到90%以上。</w:t>
            </w:r>
          </w:p>
        </w:tc>
        <w:tc>
          <w:tcPr>
            <w:tcW w:w="163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0" w:after="0" w:line="265" w:lineRule="exact"/>
              <w:ind w:right="0"/>
              <w:jc w:val="both"/>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65" w:lineRule="exact"/>
              <w:ind w:left="0" w:leftChars="0" w:right="0"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696" w:type="dxa"/>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二、提升基层医疗卫生服务能力</w:t>
            </w: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208" w:after="0" w:line="242" w:lineRule="auto"/>
              <w:ind w:left="107" w:right="96"/>
              <w:jc w:val="left"/>
              <w:rPr>
                <w:rFonts w:hint="eastAsia" w:ascii="仿宋" w:hAnsi="仿宋" w:eastAsia="仿宋" w:cs="仿宋"/>
                <w:color w:val="000000" w:themeColor="text1"/>
                <w:sz w:val="24"/>
                <w:szCs w:val="24"/>
                <w:highlight w:val="none"/>
                <w:lang w:val="zh-CN" w:eastAsia="zh-CN" w:bidi="zh-CN"/>
              </w:rPr>
            </w:pPr>
          </w:p>
        </w:tc>
        <w:tc>
          <w:tcPr>
            <w:tcW w:w="1001" w:type="dxa"/>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179" w:after="0" w:line="242" w:lineRule="auto"/>
              <w:ind w:left="107" w:right="96"/>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en-US" w:eastAsia="zh-CN" w:bidi="zh-CN"/>
              </w:rPr>
              <w:t>2.</w:t>
            </w:r>
            <w:r>
              <w:rPr>
                <w:rFonts w:hint="eastAsia" w:ascii="仿宋" w:hAnsi="仿宋" w:eastAsia="仿宋" w:cs="仿宋"/>
                <w:color w:val="000000" w:themeColor="text1"/>
                <w:sz w:val="24"/>
                <w:szCs w:val="24"/>
                <w:highlight w:val="none"/>
                <w:lang w:val="zh-CN" w:eastAsia="zh-CN" w:bidi="zh-CN"/>
              </w:rPr>
              <w:t>加强中医药服务供给</w:t>
            </w:r>
          </w:p>
        </w:tc>
        <w:tc>
          <w:tcPr>
            <w:tcW w:w="6133"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56" w:after="0" w:line="218" w:lineRule="auto"/>
              <w:ind w:left="107" w:right="95"/>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全面提升基层中医药特色服务能力，加强符合社区诊疗特点的中医特色专科专病建设。</w:t>
            </w:r>
          </w:p>
        </w:tc>
        <w:tc>
          <w:tcPr>
            <w:tcW w:w="1631"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4"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6133"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57" w:after="0" w:line="218" w:lineRule="auto"/>
              <w:ind w:left="107" w:right="95"/>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深入推进中医药融入社区健康服务一体化发展，实现中医药在家庭医生团队服务中的全覆盖。</w:t>
            </w:r>
          </w:p>
        </w:tc>
        <w:tc>
          <w:tcPr>
            <w:tcW w:w="1631" w:type="dxa"/>
            <w:tcBorders>
              <w:top w:val="single" w:color="auto" w:sz="4" w:space="0"/>
              <w:left w:val="single" w:color="auto" w:sz="4" w:space="0"/>
            </w:tcBorders>
            <w:vAlign w:val="center"/>
          </w:tcPr>
          <w:p>
            <w:pPr>
              <w:jc w:val="lef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zh-CN" w:eastAsia="zh-CN" w:bidi="zh-CN"/>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0" w:after="0" w:line="263" w:lineRule="exact"/>
              <w:ind w:left="107" w:right="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充分发挥中医药在基层常见病、多发病、慢性病防治和重点人群健康管理中的特色优势</w:t>
            </w:r>
          </w:p>
        </w:tc>
        <w:tc>
          <w:tcPr>
            <w:tcW w:w="1631" w:type="dxa"/>
            <w:tcBorders>
              <w:left w:val="single" w:color="auto" w:sz="4" w:space="0"/>
            </w:tcBorders>
            <w:vAlign w:val="center"/>
          </w:tcPr>
          <w:p>
            <w:pPr>
              <w:widowControl w:val="0"/>
              <w:autoSpaceDE w:val="0"/>
              <w:autoSpaceDN w:val="0"/>
              <w:spacing w:before="124" w:after="0" w:line="240" w:lineRule="auto"/>
              <w:ind w:left="0" w:right="31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3"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6133"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58" w:after="0" w:line="218" w:lineRule="auto"/>
              <w:ind w:left="107" w:right="95"/>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实现乡镇卫生院（街道社区卫生服务中心）提供6类中医适宜技术服务全覆盖，基层中医诊疗人次占总诊疗人次的30%以上；85%的社区卫生服务站、村卫生室提供4类中医适宜技术服务。</w:t>
            </w:r>
          </w:p>
        </w:tc>
        <w:tc>
          <w:tcPr>
            <w:tcW w:w="1631" w:type="dxa"/>
            <w:tcBorders>
              <w:left w:val="single" w:color="auto" w:sz="4" w:space="0"/>
            </w:tcBorders>
            <w:vAlign w:val="center"/>
          </w:tcPr>
          <w:p>
            <w:pPr>
              <w:widowControl w:val="0"/>
              <w:autoSpaceDE w:val="0"/>
              <w:autoSpaceDN w:val="0"/>
              <w:spacing w:before="58" w:after="0" w:line="218" w:lineRule="auto"/>
              <w:ind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0" w:after="0" w:line="240" w:lineRule="auto"/>
              <w:ind w:left="0" w:right="0"/>
              <w:jc w:val="left"/>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206" w:after="0" w:line="242" w:lineRule="auto"/>
              <w:ind w:left="107" w:right="96"/>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en-US" w:eastAsia="zh-CN" w:bidi="zh-CN"/>
              </w:rPr>
              <w:t>3.</w:t>
            </w:r>
            <w:r>
              <w:rPr>
                <w:rFonts w:hint="eastAsia" w:ascii="仿宋" w:hAnsi="仿宋" w:eastAsia="仿宋" w:cs="仿宋"/>
                <w:color w:val="000000" w:themeColor="text1"/>
                <w:sz w:val="24"/>
                <w:szCs w:val="24"/>
                <w:highlight w:val="none"/>
                <w:lang w:val="zh-CN" w:eastAsia="zh-CN" w:bidi="zh-CN"/>
              </w:rPr>
              <w:t>推动一老一小健康服务</w:t>
            </w: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1" w:after="0" w:line="218" w:lineRule="auto"/>
              <w:ind w:right="-29"/>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老年人健康管理率达到75%以上。</w:t>
            </w:r>
          </w:p>
        </w:tc>
        <w:tc>
          <w:tcPr>
            <w:tcW w:w="1631" w:type="dxa"/>
            <w:tcBorders>
              <w:left w:val="single" w:color="auto" w:sz="4" w:space="0"/>
            </w:tcBorders>
          </w:tcPr>
          <w:p>
            <w:pPr>
              <w:widowControl w:val="0"/>
              <w:autoSpaceDE w:val="0"/>
              <w:autoSpaceDN w:val="0"/>
              <w:spacing w:before="54"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6133"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before="2" w:after="0" w:line="278" w:lineRule="exact"/>
              <w:ind w:left="107" w:right="95"/>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pacing w:val="-8"/>
                <w:sz w:val="24"/>
                <w:szCs w:val="24"/>
                <w:highlight w:val="none"/>
                <w:lang w:val="zh-CN" w:eastAsia="zh-CN" w:bidi="zh-CN"/>
              </w:rPr>
              <w:t>强化老年医学和医养结合服务人才培养，加强医养结合机构和设施建设，提升社区居家医养结合服务能力。</w:t>
            </w:r>
          </w:p>
        </w:tc>
        <w:tc>
          <w:tcPr>
            <w:tcW w:w="1631" w:type="dxa"/>
            <w:vMerge w:val="restart"/>
            <w:tcBorders>
              <w:left w:val="single" w:color="auto" w:sz="4" w:space="0"/>
            </w:tcBorders>
            <w:vAlign w:val="center"/>
          </w:tcPr>
          <w:p>
            <w:pPr>
              <w:widowControl w:val="0"/>
              <w:autoSpaceDE w:val="0"/>
              <w:autoSpaceDN w:val="0"/>
              <w:spacing w:before="123" w:after="0" w:line="240" w:lineRule="auto"/>
              <w:ind w:left="0" w:right="31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县卫生健康局、县民政局、县医保局、县大数据中心、各乡镇街道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8"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81" w:after="0" w:line="218" w:lineRule="auto"/>
              <w:ind w:right="95"/>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pacing w:val="-6"/>
                <w:sz w:val="24"/>
                <w:szCs w:val="24"/>
                <w:highlight w:val="none"/>
                <w:lang w:val="zh-CN" w:eastAsia="zh-CN" w:bidi="zh-CN"/>
              </w:rPr>
              <w:t xml:space="preserve"> 基层医疗卫生机构开展“医、防、护”三位一体的儿童健康服务中心建设，创建示范儿童健康服务中心1家，乡镇（街道）婴幼儿照护服务机构基本全覆盖。积极申报省级普惠托育基本公共服务先行试点，创新公卫服务供给模式，为婴幼儿提供医疗、保健、预防接种、养育风险筛查、家访等服务，探索纳入基本公共卫生当量予以足额购买。</w:t>
            </w:r>
          </w:p>
        </w:tc>
        <w:tc>
          <w:tcPr>
            <w:tcW w:w="1631" w:type="dxa"/>
            <w:vMerge w:val="continue"/>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696" w:type="dxa"/>
            <w:vMerge w:val="restart"/>
            <w:tcBorders>
              <w:top w:val="single" w:color="auto" w:sz="4" w:space="0"/>
            </w:tcBorders>
          </w:tcPr>
          <w:p>
            <w:pPr>
              <w:jc w:val="left"/>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zh-CN" w:eastAsia="zh-CN" w:bidi="zh-CN"/>
              </w:rPr>
              <w:t>三、加强基层卫生人才队伍建设</w:t>
            </w:r>
          </w:p>
        </w:tc>
        <w:tc>
          <w:tcPr>
            <w:tcW w:w="1001" w:type="dxa"/>
            <w:vMerge w:val="restart"/>
            <w:tcBorders>
              <w:top w:val="single" w:color="auto" w:sz="4" w:space="0"/>
            </w:tcBorders>
            <w:vAlign w:val="center"/>
          </w:tcPr>
          <w:p>
            <w:pPr>
              <w:jc w:val="both"/>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val="en-US" w:eastAsia="zh-CN" w:bidi="zh-CN"/>
              </w:rPr>
              <w:t>1.优化编制配置和人员招聘政策</w:t>
            </w:r>
          </w:p>
        </w:tc>
        <w:tc>
          <w:tcPr>
            <w:tcW w:w="6133" w:type="dxa"/>
            <w:tcBorders>
              <w:top w:val="single" w:color="auto" w:sz="4" w:space="0"/>
            </w:tcBorders>
            <w:vAlign w:val="center"/>
          </w:tcPr>
          <w:p>
            <w:pPr>
              <w:widowControl w:val="0"/>
              <w:autoSpaceDE w:val="0"/>
              <w:autoSpaceDN w:val="0"/>
              <w:spacing w:before="81" w:after="0" w:line="218" w:lineRule="auto"/>
              <w:ind w:left="107" w:right="95"/>
              <w:jc w:val="left"/>
              <w:rPr>
                <w:rFonts w:hint="eastAsia" w:ascii="仿宋" w:hAnsi="仿宋" w:eastAsia="仿宋" w:cs="仿宋"/>
                <w:color w:val="000000" w:themeColor="text1"/>
                <w:spacing w:val="-6"/>
                <w:sz w:val="24"/>
                <w:szCs w:val="24"/>
                <w:highlight w:val="none"/>
                <w:lang w:val="zh-CN" w:eastAsia="zh-CN" w:bidi="zh-CN"/>
              </w:rPr>
            </w:pPr>
            <w:r>
              <w:rPr>
                <w:rFonts w:hint="eastAsia" w:ascii="仿宋" w:hAnsi="仿宋" w:eastAsia="仿宋" w:cs="仿宋"/>
                <w:color w:val="000000" w:themeColor="text1"/>
                <w:spacing w:val="-6"/>
                <w:sz w:val="24"/>
                <w:szCs w:val="24"/>
                <w:highlight w:val="none"/>
                <w:lang w:val="zh-CN" w:eastAsia="zh-CN" w:bidi="zh-CN"/>
              </w:rPr>
              <w:t>按照中央、省有关基层医疗卫生机构编制配置标准，动态调整基层医疗卫生机构人员编制。</w:t>
            </w:r>
          </w:p>
        </w:tc>
        <w:tc>
          <w:tcPr>
            <w:tcW w:w="1631" w:type="dxa"/>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县委编办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696" w:type="dxa"/>
            <w:vMerge w:val="continue"/>
          </w:tcPr>
          <w:p>
            <w:pPr>
              <w:jc w:val="left"/>
              <w:rPr>
                <w:rFonts w:hint="eastAsia" w:ascii="仿宋" w:hAnsi="仿宋" w:eastAsia="仿宋" w:cs="仿宋"/>
                <w:color w:val="000000" w:themeColor="text1"/>
                <w:sz w:val="24"/>
                <w:szCs w:val="24"/>
                <w:highlight w:val="none"/>
              </w:rPr>
            </w:pPr>
          </w:p>
        </w:tc>
        <w:tc>
          <w:tcPr>
            <w:tcW w:w="1001" w:type="dxa"/>
            <w:vMerge w:val="continue"/>
          </w:tcPr>
          <w:p>
            <w:pPr>
              <w:jc w:val="left"/>
              <w:rPr>
                <w:rFonts w:hint="eastAsia" w:ascii="仿宋" w:hAnsi="仿宋" w:eastAsia="仿宋" w:cs="仿宋"/>
                <w:color w:val="000000" w:themeColor="text1"/>
                <w:sz w:val="24"/>
                <w:szCs w:val="24"/>
                <w:highlight w:val="none"/>
              </w:rPr>
            </w:pPr>
          </w:p>
        </w:tc>
        <w:tc>
          <w:tcPr>
            <w:tcW w:w="6133" w:type="dxa"/>
            <w:vAlign w:val="center"/>
          </w:tcPr>
          <w:p>
            <w:pPr>
              <w:widowControl w:val="0"/>
              <w:autoSpaceDE w:val="0"/>
              <w:autoSpaceDN w:val="0"/>
              <w:spacing w:before="81" w:after="0" w:line="218" w:lineRule="auto"/>
              <w:ind w:left="107" w:right="95"/>
              <w:jc w:val="left"/>
              <w:rPr>
                <w:rFonts w:hint="eastAsia" w:ascii="仿宋" w:hAnsi="仿宋" w:eastAsia="仿宋" w:cs="仿宋"/>
                <w:color w:val="000000" w:themeColor="text1"/>
                <w:spacing w:val="-6"/>
                <w:sz w:val="24"/>
                <w:szCs w:val="24"/>
                <w:highlight w:val="none"/>
                <w:lang w:val="zh-CN" w:eastAsia="zh-CN" w:bidi="zh-CN"/>
              </w:rPr>
            </w:pPr>
            <w:r>
              <w:rPr>
                <w:rFonts w:hint="eastAsia" w:ascii="仿宋" w:hAnsi="仿宋" w:eastAsia="仿宋" w:cs="仿宋"/>
                <w:color w:val="000000" w:themeColor="text1"/>
                <w:spacing w:val="-6"/>
                <w:sz w:val="24"/>
                <w:szCs w:val="24"/>
                <w:highlight w:val="none"/>
                <w:lang w:val="zh-CN" w:eastAsia="zh-CN" w:bidi="zh-CN"/>
              </w:rPr>
              <w:t>加强基层医疗卫生机构编制保障，对公共卫生工作任务较重或地广人稀、交通不便的边远乡镇，编制配备可适当增加。</w:t>
            </w:r>
          </w:p>
        </w:tc>
        <w:tc>
          <w:tcPr>
            <w:tcW w:w="1631" w:type="dxa"/>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县委编办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8" w:hRule="atLeast"/>
        </w:trPr>
        <w:tc>
          <w:tcPr>
            <w:tcW w:w="696" w:type="dxa"/>
            <w:vMerge w:val="continue"/>
          </w:tcPr>
          <w:p>
            <w:pPr>
              <w:jc w:val="left"/>
              <w:rPr>
                <w:rFonts w:hint="eastAsia" w:ascii="仿宋" w:hAnsi="仿宋" w:eastAsia="仿宋" w:cs="仿宋"/>
                <w:color w:val="000000" w:themeColor="text1"/>
                <w:sz w:val="24"/>
                <w:szCs w:val="24"/>
                <w:highlight w:val="none"/>
              </w:rPr>
            </w:pPr>
          </w:p>
        </w:tc>
        <w:tc>
          <w:tcPr>
            <w:tcW w:w="1001" w:type="dxa"/>
            <w:vMerge w:val="continue"/>
          </w:tcPr>
          <w:p>
            <w:pPr>
              <w:jc w:val="left"/>
              <w:rPr>
                <w:rFonts w:hint="eastAsia" w:ascii="仿宋" w:hAnsi="仿宋" w:eastAsia="仿宋" w:cs="仿宋"/>
                <w:color w:val="000000" w:themeColor="text1"/>
                <w:sz w:val="24"/>
                <w:szCs w:val="24"/>
                <w:highlight w:val="none"/>
              </w:rPr>
            </w:pPr>
          </w:p>
        </w:tc>
        <w:tc>
          <w:tcPr>
            <w:tcW w:w="6133" w:type="dxa"/>
            <w:vAlign w:val="center"/>
          </w:tcPr>
          <w:p>
            <w:pPr>
              <w:widowControl w:val="0"/>
              <w:autoSpaceDE w:val="0"/>
              <w:autoSpaceDN w:val="0"/>
              <w:spacing w:before="81" w:after="0" w:line="218" w:lineRule="auto"/>
              <w:ind w:left="107" w:right="95"/>
              <w:jc w:val="left"/>
              <w:rPr>
                <w:rFonts w:hint="eastAsia" w:ascii="仿宋" w:hAnsi="仿宋" w:eastAsia="仿宋" w:cs="仿宋"/>
                <w:color w:val="000000" w:themeColor="text1"/>
                <w:spacing w:val="-6"/>
                <w:sz w:val="24"/>
                <w:szCs w:val="24"/>
                <w:highlight w:val="none"/>
                <w:lang w:val="zh-CN" w:eastAsia="zh-CN" w:bidi="zh-CN"/>
              </w:rPr>
            </w:pPr>
            <w:r>
              <w:rPr>
                <w:rFonts w:hint="eastAsia" w:ascii="仿宋" w:hAnsi="仿宋" w:eastAsia="仿宋" w:cs="仿宋"/>
                <w:color w:val="000000" w:themeColor="text1"/>
                <w:spacing w:val="-6"/>
                <w:sz w:val="24"/>
                <w:szCs w:val="24"/>
                <w:highlight w:val="none"/>
                <w:lang w:val="zh-CN" w:eastAsia="zh-CN" w:bidi="zh-CN"/>
              </w:rPr>
              <w:t>优化落实基层医疗卫生机构人员招聘政策。</w:t>
            </w:r>
          </w:p>
        </w:tc>
        <w:tc>
          <w:tcPr>
            <w:tcW w:w="1631" w:type="dxa"/>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县卫生健康局、县人力社保局、县委编办、县财政局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1697" w:type="dxa"/>
            <w:gridSpan w:val="2"/>
            <w:tcBorders>
              <w:right w:val="single" w:color="auto" w:sz="4" w:space="0"/>
            </w:tcBorders>
            <w:vAlign w:val="center"/>
          </w:tcPr>
          <w:p>
            <w:pPr>
              <w:widowControl w:val="0"/>
              <w:autoSpaceDE w:val="0"/>
              <w:autoSpaceDN w:val="0"/>
              <w:spacing w:before="14" w:after="0" w:line="302" w:lineRule="exact"/>
              <w:ind w:right="0" w:rightChars="0" w:firstLine="241" w:firstLineChars="100"/>
              <w:jc w:val="center"/>
              <w:rPr>
                <w:rFonts w:hint="eastAsia" w:ascii="仿宋" w:hAnsi="仿宋" w:eastAsia="仿宋" w:cs="仿宋"/>
                <w:color w:val="FF0000"/>
                <w:sz w:val="24"/>
                <w:szCs w:val="24"/>
                <w:highlight w:val="none"/>
                <w:lang w:val="en-US" w:eastAsia="zh-CN"/>
              </w:rPr>
            </w:pPr>
            <w:r>
              <w:rPr>
                <w:rFonts w:hint="eastAsia" w:ascii="仿宋" w:hAnsi="仿宋" w:eastAsia="仿宋" w:cs="仿宋"/>
                <w:b/>
                <w:color w:val="000000" w:themeColor="text1"/>
                <w:sz w:val="24"/>
                <w:szCs w:val="24"/>
                <w:highlight w:val="none"/>
                <w:lang w:val="zh-CN" w:eastAsia="zh-CN" w:bidi="zh-CN"/>
              </w:rPr>
              <w:t>重点任务</w:t>
            </w: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3" w:after="0" w:line="240" w:lineRule="auto"/>
              <w:ind w:right="2552" w:rightChars="0"/>
              <w:jc w:val="center"/>
              <w:rPr>
                <w:rFonts w:hint="eastAsia" w:ascii="仿宋" w:hAnsi="仿宋" w:eastAsia="仿宋" w:cs="仿宋"/>
                <w:color w:val="FF0000"/>
                <w:spacing w:val="-10"/>
                <w:sz w:val="24"/>
                <w:szCs w:val="24"/>
                <w:highlight w:val="none"/>
                <w:lang w:val="en-US" w:eastAsia="zh-CN" w:bidi="zh-CN"/>
              </w:rPr>
            </w:pPr>
            <w:r>
              <w:rPr>
                <w:rFonts w:hint="eastAsia" w:ascii="仿宋" w:hAnsi="仿宋" w:eastAsia="仿宋" w:cs="仿宋"/>
                <w:b/>
                <w:color w:val="000000" w:themeColor="text1"/>
                <w:sz w:val="24"/>
                <w:szCs w:val="24"/>
                <w:highlight w:val="none"/>
                <w:lang w:val="en-US" w:eastAsia="zh-CN" w:bidi="zh-CN"/>
              </w:rPr>
              <w:t xml:space="preserve">            工作内容</w:t>
            </w:r>
          </w:p>
        </w:tc>
        <w:tc>
          <w:tcPr>
            <w:tcW w:w="1631" w:type="dxa"/>
            <w:tcBorders>
              <w:left w:val="single" w:color="auto" w:sz="4" w:space="0"/>
            </w:tcBorders>
            <w:vAlign w:val="center"/>
          </w:tcPr>
          <w:p>
            <w:pPr>
              <w:widowControl w:val="0"/>
              <w:autoSpaceDE w:val="0"/>
              <w:autoSpaceDN w:val="0"/>
              <w:spacing w:before="3" w:after="0" w:line="240" w:lineRule="auto"/>
              <w:ind w:left="0" w:leftChars="0" w:right="325" w:rightChars="0"/>
              <w:jc w:val="center"/>
              <w:rPr>
                <w:rFonts w:hint="eastAsia" w:ascii="仿宋" w:hAnsi="仿宋" w:eastAsia="仿宋" w:cs="仿宋"/>
                <w:color w:val="FF0000"/>
                <w:sz w:val="24"/>
                <w:szCs w:val="24"/>
                <w:highlight w:val="none"/>
                <w:lang w:val="zh-CN" w:eastAsia="zh-CN" w:bidi="zh-CN"/>
              </w:rPr>
            </w:pPr>
            <w:r>
              <w:rPr>
                <w:rFonts w:hint="eastAsia" w:ascii="仿宋" w:hAnsi="仿宋" w:eastAsia="仿宋" w:cs="仿宋"/>
                <w:b/>
                <w:color w:val="000000" w:themeColor="text1"/>
                <w:w w:val="95"/>
                <w:sz w:val="24"/>
                <w:szCs w:val="24"/>
                <w:highlight w:val="none"/>
                <w:lang w:val="zh-CN" w:eastAsia="zh-CN" w:bidi="zh-CN"/>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696" w:type="dxa"/>
          </w:tcPr>
          <w:p>
            <w:pPr>
              <w:jc w:val="left"/>
              <w:rPr>
                <w:rFonts w:hint="eastAsia" w:ascii="仿宋" w:hAnsi="仿宋" w:eastAsia="仿宋" w:cs="仿宋"/>
                <w:color w:val="000000" w:themeColor="text1"/>
                <w:sz w:val="24"/>
                <w:szCs w:val="24"/>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bidi w:val="0"/>
              <w:jc w:val="both"/>
              <w:rPr>
                <w:rFonts w:hint="eastAsia" w:ascii="仿宋" w:hAnsi="仿宋" w:eastAsia="仿宋" w:cs="仿宋"/>
                <w:color w:val="000000" w:themeColor="text1"/>
                <w:sz w:val="24"/>
                <w:szCs w:val="24"/>
                <w:highlight w:val="none"/>
                <w:lang w:val="en-US" w:eastAsia="zh-CN"/>
              </w:rPr>
            </w:pP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tabs>
                <w:tab w:val="left" w:pos="1062"/>
              </w:tabs>
              <w:autoSpaceDE w:val="0"/>
              <w:autoSpaceDN w:val="0"/>
              <w:spacing w:before="81" w:after="0" w:line="218" w:lineRule="auto"/>
              <w:ind w:left="107" w:right="95"/>
              <w:jc w:val="both"/>
              <w:rPr>
                <w:rFonts w:hint="eastAsia" w:ascii="仿宋" w:hAnsi="仿宋" w:eastAsia="仿宋" w:cs="仿宋"/>
                <w:color w:val="000000" w:themeColor="text1"/>
                <w:spacing w:val="-10"/>
                <w:sz w:val="24"/>
                <w:szCs w:val="24"/>
                <w:highlight w:val="none"/>
                <w:lang w:val="zh-CN" w:eastAsia="zh-CN" w:bidi="zh-CN"/>
              </w:rPr>
            </w:pPr>
            <w:r>
              <w:rPr>
                <w:rFonts w:hint="eastAsia" w:ascii="仿宋" w:hAnsi="仿宋" w:eastAsia="仿宋" w:cs="仿宋"/>
                <w:color w:val="000000" w:themeColor="text1"/>
                <w:spacing w:val="-10"/>
                <w:sz w:val="24"/>
                <w:szCs w:val="24"/>
                <w:highlight w:val="none"/>
                <w:lang w:val="zh-CN" w:eastAsia="zh-CN" w:bidi="zh-CN"/>
              </w:rPr>
              <w:t>深入实施全科医生特岗计划、农村订单定向医学生免费培养和助理全科医生培训。</w:t>
            </w:r>
          </w:p>
        </w:tc>
        <w:tc>
          <w:tcPr>
            <w:tcW w:w="1631" w:type="dxa"/>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县卫生健康局、县人力社保局、县委编办、县财政局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696" w:type="dxa"/>
            <w:vMerge w:val="restart"/>
          </w:tcPr>
          <w:p>
            <w:pPr>
              <w:jc w:val="left"/>
              <w:rPr>
                <w:rFonts w:hint="eastAsia" w:ascii="仿宋" w:hAnsi="仿宋" w:eastAsia="仿宋" w:cs="仿宋"/>
                <w:color w:val="000000" w:themeColor="text1"/>
                <w:sz w:val="24"/>
                <w:szCs w:val="24"/>
                <w:highlight w:val="none"/>
              </w:rPr>
            </w:pPr>
          </w:p>
        </w:tc>
        <w:tc>
          <w:tcPr>
            <w:tcW w:w="1001" w:type="dxa"/>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themeColor="text1"/>
                <w:sz w:val="24"/>
                <w:szCs w:val="24"/>
                <w:highlight w:val="none"/>
              </w:rPr>
            </w:pPr>
          </w:p>
          <w:p>
            <w:pPr>
              <w:bidi w:val="0"/>
              <w:jc w:val="both"/>
              <w:rPr>
                <w:rFonts w:hint="eastAsia" w:ascii="仿宋" w:hAnsi="仿宋" w:eastAsia="仿宋" w:cs="仿宋"/>
                <w:color w:val="000000" w:themeColor="text1"/>
                <w:sz w:val="24"/>
                <w:szCs w:val="24"/>
                <w:highlight w:val="none"/>
                <w:lang w:val="zh-CN" w:eastAsia="zh-CN"/>
              </w:rPr>
            </w:pPr>
          </w:p>
          <w:p>
            <w:pPr>
              <w:bidi w:val="0"/>
              <w:jc w:val="both"/>
              <w:rPr>
                <w:rFonts w:hint="eastAsia" w:ascii="仿宋" w:hAnsi="仿宋" w:eastAsia="仿宋" w:cs="仿宋"/>
                <w:color w:val="000000" w:themeColor="text1"/>
                <w:sz w:val="24"/>
                <w:szCs w:val="24"/>
                <w:highlight w:val="none"/>
                <w:lang w:val="zh-CN" w:eastAsia="zh-CN"/>
              </w:rPr>
            </w:pPr>
            <w:r>
              <w:rPr>
                <w:rFonts w:hint="eastAsia" w:ascii="仿宋" w:hAnsi="仿宋" w:eastAsia="仿宋" w:cs="仿宋"/>
                <w:color w:val="000000" w:themeColor="text1"/>
                <w:sz w:val="24"/>
                <w:szCs w:val="24"/>
                <w:highlight w:val="none"/>
                <w:lang w:val="en-US" w:eastAsia="zh-CN"/>
              </w:rPr>
              <w:t>2.</w:t>
            </w:r>
            <w:r>
              <w:rPr>
                <w:rFonts w:hint="eastAsia" w:ascii="仿宋" w:hAnsi="仿宋" w:eastAsia="仿宋" w:cs="仿宋"/>
                <w:color w:val="000000" w:themeColor="text1"/>
                <w:sz w:val="24"/>
                <w:szCs w:val="24"/>
                <w:highlight w:val="none"/>
                <w:lang w:val="zh-CN" w:eastAsia="zh-CN"/>
              </w:rPr>
              <w:t>优化岗位管理和职称晋升政策</w:t>
            </w: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81" w:after="0" w:line="218" w:lineRule="auto"/>
              <w:ind w:left="107" w:right="95"/>
              <w:jc w:val="both"/>
              <w:rPr>
                <w:rFonts w:hint="eastAsia" w:ascii="仿宋" w:hAnsi="仿宋" w:eastAsia="仿宋" w:cs="仿宋"/>
                <w:color w:val="000000" w:themeColor="text1"/>
                <w:spacing w:val="-6"/>
                <w:sz w:val="24"/>
                <w:szCs w:val="24"/>
                <w:highlight w:val="none"/>
                <w:lang w:val="zh-CN" w:eastAsia="zh-CN" w:bidi="zh-CN"/>
              </w:rPr>
            </w:pPr>
            <w:r>
              <w:rPr>
                <w:rFonts w:hint="eastAsia" w:ascii="仿宋" w:hAnsi="仿宋" w:eastAsia="仿宋" w:cs="仿宋"/>
                <w:color w:val="000000" w:themeColor="text1"/>
                <w:spacing w:val="-10"/>
                <w:sz w:val="24"/>
                <w:szCs w:val="24"/>
                <w:highlight w:val="none"/>
                <w:lang w:val="zh-CN" w:eastAsia="zh-CN" w:bidi="zh-CN"/>
              </w:rPr>
              <w:t>优化岗位设置，逐步提高基层医疗卫生机构中高级专业技</w:t>
            </w:r>
            <w:r>
              <w:rPr>
                <w:rFonts w:hint="eastAsia" w:ascii="仿宋" w:hAnsi="仿宋" w:eastAsia="仿宋" w:cs="仿宋"/>
                <w:color w:val="000000" w:themeColor="text1"/>
                <w:sz w:val="24"/>
                <w:szCs w:val="24"/>
                <w:highlight w:val="none"/>
                <w:lang w:val="zh-CN" w:eastAsia="zh-CN" w:bidi="zh-CN"/>
              </w:rPr>
              <w:t>术岗位结构比例。</w:t>
            </w:r>
          </w:p>
        </w:tc>
        <w:tc>
          <w:tcPr>
            <w:tcW w:w="1631" w:type="dxa"/>
            <w:vMerge w:val="restart"/>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县卫生健康局、县人力社保局、县财政局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96" w:type="dxa"/>
            <w:vMerge w:val="continue"/>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themeColor="text1"/>
                <w:sz w:val="24"/>
                <w:szCs w:val="24"/>
                <w:highlight w:val="none"/>
              </w:rPr>
            </w:pP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108" w:after="0" w:line="240" w:lineRule="auto"/>
              <w:ind w:left="107" w:leftChars="0" w:right="0" w:rightChars="0"/>
              <w:jc w:val="both"/>
              <w:rPr>
                <w:rFonts w:hint="eastAsia" w:ascii="仿宋" w:hAnsi="仿宋" w:eastAsia="仿宋" w:cs="仿宋"/>
                <w:color w:val="000000" w:themeColor="text1"/>
                <w:spacing w:val="-6"/>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落实基层医疗卫生人员职称晋升优惠政策。</w:t>
            </w:r>
          </w:p>
        </w:tc>
        <w:tc>
          <w:tcPr>
            <w:tcW w:w="1631" w:type="dxa"/>
            <w:vMerge w:val="continue"/>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696" w:type="dxa"/>
            <w:vMerge w:val="continue"/>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themeColor="text1"/>
                <w:sz w:val="24"/>
                <w:szCs w:val="24"/>
                <w:highlight w:val="none"/>
              </w:rPr>
            </w:pP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0" w:after="0" w:line="278" w:lineRule="exact"/>
              <w:ind w:left="107" w:right="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落实累计服务满 30 年基层卫生技术人员退休一次性退休</w:t>
            </w:r>
          </w:p>
          <w:p>
            <w:pPr>
              <w:widowControl w:val="0"/>
              <w:autoSpaceDE w:val="0"/>
              <w:autoSpaceDN w:val="0"/>
              <w:spacing w:before="0" w:after="0" w:line="262" w:lineRule="exact"/>
              <w:ind w:left="107" w:leftChars="0" w:right="0" w:rightChars="0"/>
              <w:jc w:val="both"/>
              <w:rPr>
                <w:rFonts w:hint="eastAsia" w:ascii="仿宋" w:hAnsi="仿宋" w:eastAsia="仿宋" w:cs="仿宋"/>
                <w:color w:val="000000" w:themeColor="text1"/>
                <w:spacing w:val="-6"/>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补贴政策。</w:t>
            </w:r>
          </w:p>
        </w:tc>
        <w:tc>
          <w:tcPr>
            <w:tcW w:w="1631" w:type="dxa"/>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县人力社保局、县财政局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696" w:type="dxa"/>
            <w:vMerge w:val="continue"/>
          </w:tcPr>
          <w:p>
            <w:pPr>
              <w:jc w:val="left"/>
              <w:rPr>
                <w:rFonts w:hint="eastAsia" w:ascii="仿宋" w:hAnsi="仿宋" w:eastAsia="仿宋" w:cs="仿宋"/>
                <w:color w:val="000000" w:themeColor="text1"/>
                <w:sz w:val="24"/>
                <w:szCs w:val="24"/>
                <w:highlight w:val="none"/>
              </w:rPr>
            </w:pPr>
          </w:p>
        </w:tc>
        <w:tc>
          <w:tcPr>
            <w:tcW w:w="1001" w:type="dxa"/>
            <w:vMerge w:val="restart"/>
            <w:tcBorders>
              <w:top w:val="single" w:color="auto" w:sz="4" w:space="0"/>
              <w:left w:val="single" w:color="auto" w:sz="4" w:space="0"/>
              <w:right w:val="single" w:color="auto" w:sz="4" w:space="0"/>
            </w:tcBorders>
            <w:vAlign w:val="center"/>
          </w:tcPr>
          <w:p>
            <w:pPr>
              <w:jc w:val="both"/>
              <w:rPr>
                <w:rFonts w:hint="eastAsia" w:ascii="仿宋" w:hAnsi="仿宋" w:eastAsia="仿宋" w:cs="仿宋"/>
                <w:color w:val="000000" w:themeColor="text1"/>
                <w:sz w:val="24"/>
                <w:szCs w:val="24"/>
                <w:highlight w:val="none"/>
              </w:rPr>
            </w:pPr>
          </w:p>
          <w:p>
            <w:pPr>
              <w:bidi w:val="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en-US" w:eastAsia="zh-CN" w:bidi="zh-CN"/>
              </w:rPr>
              <w:t>3.</w:t>
            </w:r>
            <w:r>
              <w:rPr>
                <w:rFonts w:hint="eastAsia" w:ascii="仿宋" w:hAnsi="仿宋" w:eastAsia="仿宋" w:cs="仿宋"/>
                <w:color w:val="000000" w:themeColor="text1"/>
                <w:sz w:val="24"/>
                <w:szCs w:val="24"/>
                <w:highlight w:val="none"/>
                <w:lang w:val="zh-CN" w:eastAsia="zh-CN" w:bidi="zh-CN"/>
              </w:rPr>
              <w:t>优化人才引进和进修培训政策</w:t>
            </w: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35" w:after="0" w:line="240" w:lineRule="auto"/>
              <w:ind w:left="107" w:leftChars="0" w:right="0"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落实基层医疗卫生机构人才引进支持政策。</w:t>
            </w:r>
          </w:p>
        </w:tc>
        <w:tc>
          <w:tcPr>
            <w:tcW w:w="1631" w:type="dxa"/>
            <w:vMerge w:val="restart"/>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县人力社保局、县卫生健康局、县财政局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696" w:type="dxa"/>
            <w:vMerge w:val="continue"/>
          </w:tcPr>
          <w:p>
            <w:pPr>
              <w:jc w:val="left"/>
              <w:rPr>
                <w:rFonts w:hint="eastAsia" w:ascii="仿宋" w:hAnsi="仿宋" w:eastAsia="仿宋" w:cs="仿宋"/>
                <w:color w:val="000000" w:themeColor="text1"/>
                <w:sz w:val="24"/>
                <w:szCs w:val="24"/>
                <w:highlight w:val="none"/>
              </w:rPr>
            </w:pPr>
          </w:p>
        </w:tc>
        <w:tc>
          <w:tcPr>
            <w:tcW w:w="1001" w:type="dxa"/>
            <w:vMerge w:val="continue"/>
            <w:tcBorders>
              <w:left w:val="single" w:color="auto" w:sz="4" w:space="0"/>
              <w:right w:val="single" w:color="auto" w:sz="4" w:space="0"/>
            </w:tcBorders>
            <w:vAlign w:val="center"/>
          </w:tcPr>
          <w:p>
            <w:pPr>
              <w:jc w:val="both"/>
              <w:rPr>
                <w:rFonts w:hint="eastAsia" w:ascii="仿宋" w:hAnsi="仿宋" w:eastAsia="仿宋" w:cs="仿宋"/>
                <w:color w:val="000000" w:themeColor="text1"/>
                <w:sz w:val="24"/>
                <w:szCs w:val="24"/>
                <w:highlight w:val="none"/>
              </w:rPr>
            </w:pP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12" w:after="0" w:line="304" w:lineRule="exact"/>
              <w:ind w:left="107" w:leftChars="0" w:right="0"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落实基层医务人员进修学习鼓励支持政策。</w:t>
            </w:r>
          </w:p>
        </w:tc>
        <w:tc>
          <w:tcPr>
            <w:tcW w:w="1631" w:type="dxa"/>
            <w:vMerge w:val="continue"/>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696" w:type="dxa"/>
            <w:vMerge w:val="continue"/>
          </w:tcPr>
          <w:p>
            <w:pPr>
              <w:jc w:val="left"/>
              <w:rPr>
                <w:rFonts w:hint="eastAsia" w:ascii="仿宋" w:hAnsi="仿宋" w:eastAsia="仿宋" w:cs="仿宋"/>
                <w:color w:val="000000" w:themeColor="text1"/>
                <w:sz w:val="24"/>
                <w:szCs w:val="24"/>
                <w:highlight w:val="none"/>
              </w:rPr>
            </w:pPr>
          </w:p>
        </w:tc>
        <w:tc>
          <w:tcPr>
            <w:tcW w:w="1001" w:type="dxa"/>
            <w:vMerge w:val="continue"/>
            <w:tcBorders>
              <w:left w:val="single" w:color="auto" w:sz="4" w:space="0"/>
              <w:right w:val="single" w:color="auto" w:sz="4" w:space="0"/>
            </w:tcBorders>
            <w:vAlign w:val="center"/>
          </w:tcPr>
          <w:p>
            <w:pPr>
              <w:jc w:val="both"/>
              <w:rPr>
                <w:rFonts w:hint="eastAsia" w:ascii="仿宋" w:hAnsi="仿宋" w:eastAsia="仿宋" w:cs="仿宋"/>
                <w:color w:val="000000" w:themeColor="text1"/>
                <w:sz w:val="24"/>
                <w:szCs w:val="24"/>
                <w:highlight w:val="none"/>
              </w:rPr>
            </w:pP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26" w:after="0" w:line="278" w:lineRule="exact"/>
              <w:ind w:left="107" w:leftChars="0" w:right="17"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建立医疗卫生人才建设专项资金，用于医疗卫生单位人才引进、学历提升、进修培训和继续教育。</w:t>
            </w:r>
          </w:p>
        </w:tc>
        <w:tc>
          <w:tcPr>
            <w:tcW w:w="1631" w:type="dxa"/>
            <w:vMerge w:val="continue"/>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96" w:type="dxa"/>
            <w:vMerge w:val="continue"/>
            <w:tcBorders>
              <w:bottom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continue"/>
            <w:tcBorders>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themeColor="text1"/>
                <w:sz w:val="24"/>
                <w:szCs w:val="24"/>
                <w:highlight w:val="none"/>
              </w:rPr>
            </w:pP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146" w:after="0" w:line="218" w:lineRule="auto"/>
              <w:ind w:left="107" w:leftChars="0" w:right="97"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每万常住人口全科医生数达到5人以上。</w:t>
            </w:r>
          </w:p>
        </w:tc>
        <w:tc>
          <w:tcPr>
            <w:tcW w:w="1631" w:type="dxa"/>
            <w:tcBorders>
              <w:left w:val="single" w:color="auto" w:sz="4" w:space="0"/>
              <w:bottom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696" w:type="dxa"/>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szCs w:val="24"/>
                <w:highlight w:val="none"/>
              </w:rPr>
            </w:pPr>
          </w:p>
          <w:p>
            <w:pPr>
              <w:bidi w:val="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四、推进数字化健康新服务</w:t>
            </w:r>
          </w:p>
        </w:tc>
        <w:tc>
          <w:tcPr>
            <w:tcW w:w="1001" w:type="dxa"/>
            <w:vMerge w:val="restar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26" w:after="0" w:line="278" w:lineRule="exact"/>
              <w:ind w:right="17"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推进数字赋能基层卫生健康</w:t>
            </w: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26" w:after="0" w:line="278" w:lineRule="exact"/>
              <w:ind w:left="107" w:leftChars="0" w:right="17"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推进全区老年慢病数字健康新服务，逐步建立全民健康数字化管理新模式。</w:t>
            </w:r>
          </w:p>
        </w:tc>
        <w:tc>
          <w:tcPr>
            <w:tcW w:w="1631" w:type="dxa"/>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县卫生健康局、县财政局、县大数据管理中心、县发改局、县委改革办、县建设局、农业农村局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9"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26" w:after="0" w:line="278" w:lineRule="exact"/>
              <w:ind w:left="107" w:leftChars="0" w:right="17" w:rightChars="0"/>
              <w:jc w:val="both"/>
              <w:rPr>
                <w:rFonts w:hint="eastAsia" w:ascii="仿宋" w:hAnsi="仿宋" w:eastAsia="仿宋" w:cs="仿宋"/>
                <w:color w:val="000000" w:themeColor="text1"/>
                <w:sz w:val="24"/>
                <w:szCs w:val="24"/>
                <w:highlight w:val="none"/>
                <w:lang w:val="zh-CN" w:eastAsia="zh-CN" w:bidi="zh-CN"/>
              </w:rPr>
            </w:pP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26" w:after="0" w:line="278" w:lineRule="exact"/>
              <w:ind w:left="107" w:leftChars="0" w:right="17"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分批次打造智慧化村卫生室（社区卫生服务站）。</w:t>
            </w:r>
          </w:p>
        </w:tc>
        <w:tc>
          <w:tcPr>
            <w:tcW w:w="1631" w:type="dxa"/>
            <w:vMerge w:val="continue"/>
            <w:tcBorders>
              <w:top w:val="single" w:color="auto" w:sz="4" w:space="0"/>
              <w:left w:val="single" w:color="auto" w:sz="4" w:space="0"/>
              <w:righ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696" w:type="dxa"/>
            <w:vMerge w:val="restart"/>
            <w:tcBorders>
              <w:top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p>
            <w:pPr>
              <w:bidi w:val="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五、优化基层医疗卫生保障机制</w:t>
            </w:r>
          </w:p>
          <w:p>
            <w:pPr>
              <w:bidi w:val="0"/>
              <w:ind w:firstLine="273" w:firstLineChars="0"/>
              <w:jc w:val="left"/>
              <w:rPr>
                <w:rFonts w:hint="eastAsia" w:ascii="仿宋" w:hAnsi="仿宋" w:eastAsia="仿宋" w:cs="仿宋"/>
                <w:color w:val="000000" w:themeColor="text1"/>
                <w:sz w:val="24"/>
                <w:szCs w:val="24"/>
                <w:highlight w:val="none"/>
                <w:lang w:val="zh-CN" w:eastAsia="zh-CN" w:bidi="zh-CN"/>
              </w:rPr>
            </w:pPr>
          </w:p>
        </w:tc>
        <w:tc>
          <w:tcPr>
            <w:tcW w:w="1001" w:type="dxa"/>
            <w:vMerge w:val="restar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26" w:after="0" w:line="278" w:lineRule="exact"/>
              <w:ind w:left="107" w:leftChars="0" w:right="17" w:rightChars="0"/>
              <w:jc w:val="both"/>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26" w:after="0" w:line="278" w:lineRule="exact"/>
              <w:ind w:left="107" w:leftChars="0" w:right="17"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en-US" w:eastAsia="zh-CN" w:bidi="zh-CN"/>
              </w:rPr>
              <w:t>1.</w:t>
            </w:r>
            <w:r>
              <w:rPr>
                <w:rFonts w:hint="eastAsia" w:ascii="仿宋" w:hAnsi="仿宋" w:eastAsia="仿宋" w:cs="仿宋"/>
                <w:color w:val="000000" w:themeColor="text1"/>
                <w:sz w:val="24"/>
                <w:szCs w:val="24"/>
                <w:highlight w:val="none"/>
                <w:lang w:val="zh-CN" w:eastAsia="zh-CN" w:bidi="zh-CN"/>
              </w:rPr>
              <w:t>完善财政补偿机制改革</w:t>
            </w: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43" w:after="0" w:line="218" w:lineRule="auto"/>
              <w:ind w:left="107" w:leftChars="0" w:right="17"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深化基层医疗机构财政补偿机制改革，逐步提高扩大“保一块”投入范围和力度。</w:t>
            </w:r>
          </w:p>
        </w:tc>
        <w:tc>
          <w:tcPr>
            <w:tcW w:w="1631" w:type="dxa"/>
            <w:vMerge w:val="restart"/>
            <w:tcBorders>
              <w:left w:val="single" w:color="auto" w:sz="4" w:space="0"/>
            </w:tcBorders>
            <w:vAlign w:val="center"/>
          </w:tcPr>
          <w:p>
            <w:pPr>
              <w:widowControl w:val="0"/>
              <w:autoSpaceDE w:val="0"/>
              <w:autoSpaceDN w:val="0"/>
              <w:spacing w:before="81" w:after="0" w:line="218" w:lineRule="auto"/>
              <w:ind w:left="108" w:right="7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696" w:type="dxa"/>
            <w:vMerge w:val="continue"/>
            <w:tcBorders>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26" w:after="0" w:line="278" w:lineRule="exact"/>
              <w:ind w:left="107" w:leftChars="0" w:right="17" w:rightChars="0"/>
              <w:jc w:val="both"/>
              <w:rPr>
                <w:rFonts w:hint="eastAsia" w:ascii="仿宋" w:hAnsi="仿宋" w:eastAsia="仿宋" w:cs="仿宋"/>
                <w:color w:val="000000" w:themeColor="text1"/>
                <w:sz w:val="24"/>
                <w:szCs w:val="24"/>
                <w:highlight w:val="none"/>
                <w:lang w:val="zh-CN" w:eastAsia="zh-CN" w:bidi="zh-CN"/>
              </w:rPr>
            </w:pP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44" w:after="0" w:line="218" w:lineRule="auto"/>
              <w:ind w:left="107" w:leftChars="0" w:right="17"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不断优化财政购买当量项目，当量赋值以及当量单价长效调节机制，提高“买一块”水平。</w:t>
            </w:r>
          </w:p>
        </w:tc>
        <w:tc>
          <w:tcPr>
            <w:tcW w:w="1631" w:type="dxa"/>
            <w:vMerge w:val="continue"/>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96" w:type="dxa"/>
            <w:vMerge w:val="continue"/>
            <w:tcBorders>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26" w:after="0" w:line="278" w:lineRule="exact"/>
              <w:ind w:left="107" w:leftChars="0" w:right="17" w:rightChars="0"/>
              <w:jc w:val="both"/>
              <w:rPr>
                <w:rFonts w:hint="eastAsia" w:ascii="仿宋" w:hAnsi="仿宋" w:eastAsia="仿宋" w:cs="仿宋"/>
                <w:color w:val="000000" w:themeColor="text1"/>
                <w:sz w:val="24"/>
                <w:szCs w:val="24"/>
                <w:highlight w:val="none"/>
                <w:lang w:val="zh-CN" w:eastAsia="zh-CN" w:bidi="zh-CN"/>
              </w:rPr>
            </w:pP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50" w:after="0" w:line="218" w:lineRule="auto"/>
              <w:ind w:left="107" w:leftChars="0" w:right="96"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pacing w:val="-8"/>
                <w:sz w:val="24"/>
                <w:szCs w:val="24"/>
                <w:highlight w:val="none"/>
                <w:lang w:val="zh-CN" w:eastAsia="zh-CN" w:bidi="zh-CN"/>
              </w:rPr>
              <w:t>扩大财政支持范围，探索将预防保健、康复医疗、安宁疗</w:t>
            </w:r>
            <w:r>
              <w:rPr>
                <w:rFonts w:hint="eastAsia" w:ascii="仿宋" w:hAnsi="仿宋" w:eastAsia="仿宋" w:cs="仿宋"/>
                <w:color w:val="000000" w:themeColor="text1"/>
                <w:spacing w:val="-11"/>
                <w:sz w:val="24"/>
                <w:szCs w:val="24"/>
                <w:highlight w:val="none"/>
                <w:lang w:val="zh-CN" w:eastAsia="zh-CN" w:bidi="zh-CN"/>
              </w:rPr>
              <w:t>护、延时门诊等项目以合理当量纳入政府购买基本公共卫</w:t>
            </w:r>
            <w:r>
              <w:rPr>
                <w:rFonts w:hint="eastAsia" w:ascii="仿宋" w:hAnsi="仿宋" w:eastAsia="仿宋" w:cs="仿宋"/>
                <w:color w:val="000000" w:themeColor="text1"/>
                <w:sz w:val="24"/>
                <w:szCs w:val="24"/>
                <w:highlight w:val="none"/>
                <w:lang w:val="zh-CN" w:eastAsia="zh-CN" w:bidi="zh-CN"/>
              </w:rPr>
              <w:t>生和基本医疗服务等项目。</w:t>
            </w:r>
          </w:p>
        </w:tc>
        <w:tc>
          <w:tcPr>
            <w:tcW w:w="1631" w:type="dxa"/>
            <w:vMerge w:val="continue"/>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6" w:type="dxa"/>
            <w:vMerge w:val="continue"/>
            <w:tcBorders>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26" w:after="0" w:line="278" w:lineRule="exact"/>
              <w:ind w:left="107" w:leftChars="0" w:right="17"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en-US" w:eastAsia="zh-CN" w:bidi="zh-CN"/>
              </w:rPr>
              <w:t>2.</w:t>
            </w:r>
            <w:r>
              <w:rPr>
                <w:rFonts w:hint="eastAsia" w:ascii="仿宋" w:hAnsi="仿宋" w:eastAsia="仿宋" w:cs="仿宋"/>
                <w:color w:val="000000" w:themeColor="text1"/>
                <w:sz w:val="24"/>
                <w:szCs w:val="24"/>
                <w:highlight w:val="none"/>
                <w:lang w:val="zh-CN" w:eastAsia="zh-CN" w:bidi="zh-CN"/>
              </w:rPr>
              <w:t>加强医保政策支持</w:t>
            </w: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26" w:after="0" w:line="278" w:lineRule="exact"/>
              <w:ind w:left="107" w:leftChars="0" w:right="17" w:rightChars="0"/>
              <w:jc w:val="both"/>
              <w:rPr>
                <w:rFonts w:hint="eastAsia" w:ascii="仿宋" w:hAnsi="仿宋" w:eastAsia="仿宋" w:cs="仿宋"/>
                <w:color w:val="000000" w:themeColor="text1"/>
                <w:sz w:val="24"/>
                <w:szCs w:val="24"/>
                <w:highlight w:val="none"/>
                <w:lang w:val="zh-CN" w:eastAsia="zh-CN" w:bidi="zh-CN"/>
              </w:rPr>
            </w:pPr>
          </w:p>
          <w:p>
            <w:pPr>
              <w:widowControl w:val="0"/>
              <w:autoSpaceDE w:val="0"/>
              <w:autoSpaceDN w:val="0"/>
              <w:spacing w:before="26" w:after="0" w:line="278" w:lineRule="exact"/>
              <w:ind w:left="107" w:leftChars="0" w:right="17"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按照“基层首诊、双向转诊、分级诊疗”要求，合理拉开基层医疗卫生机构和其他医疗机构的报销比例。</w:t>
            </w:r>
          </w:p>
        </w:tc>
        <w:tc>
          <w:tcPr>
            <w:tcW w:w="1631" w:type="dxa"/>
            <w:tcBorders>
              <w:left w:val="single" w:color="auto" w:sz="4" w:space="0"/>
            </w:tcBorders>
            <w:vAlign w:val="center"/>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县医保局、县财政局、县卫生健康局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697" w:type="dxa"/>
            <w:gridSpan w:val="2"/>
            <w:tcBorders>
              <w:top w:val="single" w:color="auto" w:sz="4" w:space="0"/>
              <w:bottom w:val="single" w:color="auto" w:sz="4" w:space="0"/>
              <w:right w:val="single" w:color="auto" w:sz="4" w:space="0"/>
            </w:tcBorders>
            <w:vAlign w:val="center"/>
          </w:tcPr>
          <w:p>
            <w:pPr>
              <w:widowControl w:val="0"/>
              <w:autoSpaceDE w:val="0"/>
              <w:autoSpaceDN w:val="0"/>
              <w:spacing w:before="14" w:after="0" w:line="302" w:lineRule="exact"/>
              <w:ind w:right="0" w:rightChars="0"/>
              <w:jc w:val="center"/>
              <w:rPr>
                <w:rFonts w:hint="eastAsia" w:ascii="仿宋" w:hAnsi="仿宋" w:eastAsia="仿宋" w:cs="仿宋"/>
                <w:color w:val="000000" w:themeColor="text1"/>
                <w:sz w:val="24"/>
                <w:szCs w:val="24"/>
                <w:highlight w:val="none"/>
                <w:lang w:val="en-US" w:eastAsia="zh-CN" w:bidi="zh-CN"/>
              </w:rPr>
            </w:pPr>
            <w:r>
              <w:rPr>
                <w:rFonts w:hint="eastAsia" w:ascii="仿宋" w:hAnsi="仿宋" w:eastAsia="仿宋" w:cs="仿宋"/>
                <w:b/>
                <w:color w:val="000000" w:themeColor="text1"/>
                <w:sz w:val="24"/>
                <w:szCs w:val="24"/>
                <w:highlight w:val="none"/>
                <w:lang w:val="zh-CN" w:eastAsia="zh-CN" w:bidi="zh-CN"/>
              </w:rPr>
              <w:t>重点任务</w:t>
            </w: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3" w:after="0" w:line="240" w:lineRule="auto"/>
              <w:ind w:right="2552" w:rightChars="0" w:firstLine="2168" w:firstLineChars="900"/>
              <w:jc w:val="both"/>
              <w:rPr>
                <w:rFonts w:hint="eastAsia" w:ascii="仿宋" w:hAnsi="仿宋" w:eastAsia="仿宋" w:cs="仿宋"/>
                <w:color w:val="000000" w:themeColor="text1"/>
                <w:spacing w:val="-8"/>
                <w:sz w:val="24"/>
                <w:szCs w:val="24"/>
                <w:highlight w:val="none"/>
                <w:lang w:val="zh-CN" w:eastAsia="zh-CN" w:bidi="zh-CN"/>
              </w:rPr>
            </w:pPr>
            <w:r>
              <w:rPr>
                <w:rFonts w:hint="eastAsia" w:ascii="仿宋" w:hAnsi="仿宋" w:eastAsia="仿宋" w:cs="仿宋"/>
                <w:b/>
                <w:color w:val="000000" w:themeColor="text1"/>
                <w:sz w:val="24"/>
                <w:szCs w:val="24"/>
                <w:highlight w:val="none"/>
                <w:lang w:val="zh-CN" w:eastAsia="zh-CN" w:bidi="zh-CN"/>
              </w:rPr>
              <w:t>工作内容</w:t>
            </w:r>
          </w:p>
        </w:tc>
        <w:tc>
          <w:tcPr>
            <w:tcW w:w="1631" w:type="dxa"/>
            <w:tcBorders>
              <w:left w:val="single" w:color="auto" w:sz="4" w:space="0"/>
            </w:tcBorders>
            <w:vAlign w:val="center"/>
          </w:tcPr>
          <w:p>
            <w:pPr>
              <w:widowControl w:val="0"/>
              <w:autoSpaceDE w:val="0"/>
              <w:autoSpaceDN w:val="0"/>
              <w:spacing w:before="3" w:after="0" w:line="240" w:lineRule="auto"/>
              <w:ind w:left="0" w:leftChars="0" w:right="325" w:rightChars="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b/>
                <w:color w:val="000000" w:themeColor="text1"/>
                <w:w w:val="95"/>
                <w:sz w:val="24"/>
                <w:szCs w:val="24"/>
                <w:highlight w:val="none"/>
                <w:lang w:val="zh-CN" w:eastAsia="zh-CN" w:bidi="zh-CN"/>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96" w:type="dxa"/>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bidi w:val="0"/>
              <w:jc w:val="both"/>
              <w:rPr>
                <w:rFonts w:hint="eastAsia" w:ascii="仿宋" w:hAnsi="仿宋" w:eastAsia="仿宋" w:cs="仿宋"/>
                <w:color w:val="000000" w:themeColor="text1"/>
                <w:sz w:val="24"/>
                <w:szCs w:val="24"/>
                <w:highlight w:val="none"/>
                <w:lang w:val="en-US" w:eastAsia="zh-CN" w:bidi="zh-CN"/>
              </w:rPr>
            </w:pP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50" w:after="0" w:line="218" w:lineRule="auto"/>
              <w:ind w:left="107" w:leftChars="0" w:right="96" w:rightChars="0"/>
              <w:jc w:val="both"/>
              <w:rPr>
                <w:rFonts w:hint="eastAsia" w:ascii="仿宋" w:hAnsi="仿宋" w:eastAsia="仿宋" w:cs="仿宋"/>
                <w:color w:val="000000" w:themeColor="text1"/>
                <w:spacing w:val="-8"/>
                <w:sz w:val="24"/>
                <w:szCs w:val="24"/>
                <w:highlight w:val="none"/>
                <w:lang w:val="zh-CN" w:eastAsia="zh-CN" w:bidi="zh-CN"/>
              </w:rPr>
            </w:pPr>
            <w:r>
              <w:rPr>
                <w:rFonts w:hint="eastAsia" w:ascii="仿宋" w:hAnsi="仿宋" w:eastAsia="仿宋" w:cs="仿宋"/>
                <w:color w:val="000000" w:themeColor="text1"/>
                <w:spacing w:val="-8"/>
                <w:sz w:val="24"/>
                <w:szCs w:val="24"/>
                <w:highlight w:val="none"/>
                <w:lang w:val="zh-CN" w:eastAsia="zh-CN" w:bidi="zh-CN"/>
              </w:rPr>
              <w:t>在医共体医保经费总额预算内，分院门诊均次费用在不突破合理增长前提下，不对基层门诊进行医保总额控费，进一步推动分级诊疗和基层首诊政策落地。</w:t>
            </w:r>
          </w:p>
        </w:tc>
        <w:tc>
          <w:tcPr>
            <w:tcW w:w="1631" w:type="dxa"/>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县医保局、县财政局、县卫生健康局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96" w:type="dxa"/>
            <w:vMerge w:val="restart"/>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restar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26" w:after="0" w:line="278" w:lineRule="exact"/>
              <w:ind w:left="107" w:leftChars="0" w:right="17" w:rightChars="0"/>
              <w:jc w:val="both"/>
              <w:rPr>
                <w:rFonts w:hint="eastAsia" w:ascii="仿宋" w:hAnsi="仿宋" w:eastAsia="仿宋" w:cs="仿宋"/>
                <w:color w:val="000000" w:themeColor="text1"/>
                <w:sz w:val="24"/>
                <w:szCs w:val="24"/>
                <w:highlight w:val="none"/>
                <w:lang w:val="zh-CN" w:eastAsia="zh-CN"/>
              </w:rPr>
            </w:pPr>
          </w:p>
          <w:p>
            <w:pPr>
              <w:bidi w:val="0"/>
              <w:jc w:val="both"/>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en-US" w:eastAsia="zh-CN" w:bidi="zh-CN"/>
              </w:rPr>
              <w:t>3.</w:t>
            </w:r>
            <w:r>
              <w:rPr>
                <w:rFonts w:hint="eastAsia" w:ascii="仿宋" w:hAnsi="仿宋" w:eastAsia="仿宋" w:cs="仿宋"/>
                <w:color w:val="000000" w:themeColor="text1"/>
                <w:sz w:val="24"/>
                <w:szCs w:val="24"/>
                <w:highlight w:val="none"/>
                <w:lang w:val="zh-CN" w:eastAsia="zh-CN" w:bidi="zh-CN"/>
              </w:rPr>
              <w:t>深化薪酬激励机制</w:t>
            </w:r>
          </w:p>
        </w:tc>
        <w:tc>
          <w:tcPr>
            <w:tcW w:w="613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50" w:after="0" w:line="218" w:lineRule="auto"/>
              <w:ind w:left="107" w:leftChars="0" w:right="96" w:rightChars="0"/>
              <w:jc w:val="both"/>
              <w:rPr>
                <w:rFonts w:hint="eastAsia" w:ascii="仿宋" w:hAnsi="仿宋" w:eastAsia="仿宋" w:cs="仿宋"/>
                <w:color w:val="000000" w:themeColor="text1"/>
                <w:spacing w:val="-8"/>
                <w:sz w:val="24"/>
                <w:szCs w:val="24"/>
                <w:highlight w:val="none"/>
                <w:lang w:val="zh-CN" w:eastAsia="zh-CN" w:bidi="zh-CN"/>
              </w:rPr>
            </w:pPr>
            <w:r>
              <w:rPr>
                <w:rFonts w:hint="eastAsia" w:ascii="仿宋" w:hAnsi="仿宋" w:eastAsia="仿宋" w:cs="仿宋"/>
                <w:color w:val="000000" w:themeColor="text1"/>
                <w:spacing w:val="-8"/>
                <w:sz w:val="24"/>
                <w:szCs w:val="24"/>
                <w:highlight w:val="none"/>
                <w:lang w:val="zh-CN" w:eastAsia="zh-CN" w:bidi="zh-CN"/>
              </w:rPr>
              <w:t>落实基层医疗卫生机构财政保障机制。</w:t>
            </w:r>
          </w:p>
        </w:tc>
        <w:tc>
          <w:tcPr>
            <w:tcW w:w="1631" w:type="dxa"/>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tcPr>
          <w:p>
            <w:pPr>
              <w:widowControl w:val="0"/>
              <w:autoSpaceDE w:val="0"/>
              <w:autoSpaceDN w:val="0"/>
              <w:spacing w:before="26" w:after="0" w:line="278" w:lineRule="exact"/>
              <w:ind w:left="107" w:leftChars="0" w:right="17" w:rightChars="0"/>
              <w:jc w:val="left"/>
              <w:rPr>
                <w:rFonts w:hint="eastAsia" w:ascii="仿宋" w:hAnsi="仿宋" w:eastAsia="仿宋" w:cs="仿宋"/>
                <w:color w:val="000000" w:themeColor="text1"/>
                <w:sz w:val="24"/>
                <w:szCs w:val="24"/>
                <w:highlight w:val="none"/>
                <w:lang w:val="zh-CN" w:eastAsia="zh-CN" w:bidi="zh-CN"/>
              </w:rPr>
            </w:pPr>
          </w:p>
        </w:tc>
        <w:tc>
          <w:tcPr>
            <w:tcW w:w="6133"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50" w:after="0" w:line="218" w:lineRule="auto"/>
              <w:ind w:left="107" w:leftChars="0" w:right="96" w:rightChars="0"/>
              <w:jc w:val="left"/>
              <w:rPr>
                <w:rFonts w:hint="eastAsia" w:ascii="仿宋" w:hAnsi="仿宋" w:eastAsia="仿宋" w:cs="仿宋"/>
                <w:color w:val="000000" w:themeColor="text1"/>
                <w:spacing w:val="-8"/>
                <w:sz w:val="24"/>
                <w:szCs w:val="24"/>
                <w:highlight w:val="none"/>
                <w:lang w:val="zh-CN" w:eastAsia="zh-CN" w:bidi="zh-CN"/>
              </w:rPr>
            </w:pPr>
            <w:r>
              <w:rPr>
                <w:rFonts w:hint="eastAsia" w:ascii="仿宋" w:hAnsi="仿宋" w:eastAsia="仿宋" w:cs="仿宋"/>
                <w:color w:val="000000" w:themeColor="text1"/>
                <w:spacing w:val="-8"/>
                <w:sz w:val="24"/>
                <w:szCs w:val="24"/>
                <w:highlight w:val="none"/>
                <w:lang w:val="zh-CN" w:eastAsia="zh-CN" w:bidi="zh-CN"/>
              </w:rPr>
              <w:t>基层医疗机构要建立以工作当量和绩效考核为主要依据的内部分配制度,突出价值导向、业绩导向，多劳多得、同工同酬、优绩优酬。</w:t>
            </w:r>
          </w:p>
        </w:tc>
        <w:tc>
          <w:tcPr>
            <w:tcW w:w="1631" w:type="dxa"/>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tcPr>
          <w:p>
            <w:pPr>
              <w:widowControl w:val="0"/>
              <w:autoSpaceDE w:val="0"/>
              <w:autoSpaceDN w:val="0"/>
              <w:spacing w:before="26" w:after="0" w:line="278" w:lineRule="exact"/>
              <w:ind w:left="107" w:leftChars="0" w:right="17" w:rightChars="0"/>
              <w:jc w:val="left"/>
              <w:rPr>
                <w:rFonts w:hint="eastAsia" w:ascii="仿宋" w:hAnsi="仿宋" w:eastAsia="仿宋" w:cs="仿宋"/>
                <w:color w:val="000000" w:themeColor="text1"/>
                <w:sz w:val="24"/>
                <w:szCs w:val="24"/>
                <w:highlight w:val="none"/>
                <w:lang w:val="zh-CN" w:eastAsia="zh-CN" w:bidi="zh-CN"/>
              </w:rPr>
            </w:pPr>
          </w:p>
        </w:tc>
        <w:tc>
          <w:tcPr>
            <w:tcW w:w="6133"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50" w:after="0" w:line="218" w:lineRule="auto"/>
              <w:ind w:left="107" w:leftChars="0" w:right="96" w:rightChars="0"/>
              <w:jc w:val="left"/>
              <w:rPr>
                <w:rFonts w:hint="eastAsia" w:ascii="仿宋" w:hAnsi="仿宋" w:eastAsia="仿宋" w:cs="仿宋"/>
                <w:color w:val="000000" w:themeColor="text1"/>
                <w:spacing w:val="-8"/>
                <w:sz w:val="24"/>
                <w:szCs w:val="24"/>
                <w:highlight w:val="none"/>
                <w:lang w:val="zh-CN" w:eastAsia="zh-CN" w:bidi="zh-CN"/>
              </w:rPr>
            </w:pPr>
            <w:r>
              <w:rPr>
                <w:rFonts w:hint="eastAsia" w:ascii="仿宋" w:hAnsi="仿宋" w:eastAsia="仿宋" w:cs="仿宋"/>
                <w:color w:val="000000" w:themeColor="text1"/>
                <w:spacing w:val="-8"/>
                <w:sz w:val="24"/>
                <w:szCs w:val="24"/>
                <w:highlight w:val="none"/>
                <w:lang w:val="zh-CN" w:eastAsia="zh-CN" w:bidi="zh-CN"/>
              </w:rPr>
              <w:t>基层医疗卫生机构在当年医疗服务收入扣除成本和提取各项基金后主要用于人员奖励性绩效工资，根据“两个允许”要求合理增加薪酬总量，不计入总量核定基数。</w:t>
            </w:r>
          </w:p>
        </w:tc>
        <w:tc>
          <w:tcPr>
            <w:tcW w:w="1631" w:type="dxa"/>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tcPr>
          <w:p>
            <w:pPr>
              <w:widowControl w:val="0"/>
              <w:autoSpaceDE w:val="0"/>
              <w:autoSpaceDN w:val="0"/>
              <w:spacing w:before="26" w:after="0" w:line="278" w:lineRule="exact"/>
              <w:ind w:left="107" w:leftChars="0" w:right="17" w:rightChars="0"/>
              <w:jc w:val="left"/>
              <w:rPr>
                <w:rFonts w:hint="eastAsia" w:ascii="仿宋" w:hAnsi="仿宋" w:eastAsia="仿宋" w:cs="仿宋"/>
                <w:color w:val="000000" w:themeColor="text1"/>
                <w:sz w:val="24"/>
                <w:szCs w:val="24"/>
                <w:highlight w:val="none"/>
                <w:lang w:val="zh-CN" w:eastAsia="zh-CN" w:bidi="zh-CN"/>
              </w:rPr>
            </w:pPr>
          </w:p>
        </w:tc>
        <w:tc>
          <w:tcPr>
            <w:tcW w:w="6133"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50" w:after="0" w:line="218" w:lineRule="auto"/>
              <w:ind w:left="107" w:leftChars="0" w:right="96" w:rightChars="0"/>
              <w:jc w:val="left"/>
              <w:rPr>
                <w:rFonts w:hint="eastAsia" w:ascii="仿宋" w:hAnsi="仿宋" w:eastAsia="仿宋" w:cs="仿宋"/>
                <w:color w:val="000000" w:themeColor="text1"/>
                <w:spacing w:val="-8"/>
                <w:sz w:val="24"/>
                <w:szCs w:val="24"/>
                <w:highlight w:val="none"/>
                <w:lang w:val="zh-CN" w:eastAsia="zh-CN" w:bidi="zh-CN"/>
              </w:rPr>
            </w:pPr>
            <w:r>
              <w:rPr>
                <w:rFonts w:hint="eastAsia" w:ascii="仿宋" w:hAnsi="仿宋" w:eastAsia="仿宋" w:cs="仿宋"/>
                <w:color w:val="000000" w:themeColor="text1"/>
                <w:spacing w:val="-8"/>
                <w:sz w:val="24"/>
                <w:szCs w:val="24"/>
                <w:highlight w:val="none"/>
                <w:lang w:val="zh-CN" w:eastAsia="zh-CN" w:bidi="zh-CN"/>
              </w:rPr>
              <w:t>建立基层绩效工资总量调控机制，允许将基层医疗卫生机构收支结余（不含财政专项补助）的40-60%根据综合考核结果进行再分配。</w:t>
            </w:r>
          </w:p>
        </w:tc>
        <w:tc>
          <w:tcPr>
            <w:tcW w:w="1631" w:type="dxa"/>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spacing w:before="26" w:after="0" w:line="278" w:lineRule="exact"/>
              <w:ind w:left="107" w:leftChars="0" w:right="17" w:rightChars="0"/>
              <w:jc w:val="left"/>
              <w:rPr>
                <w:rFonts w:hint="eastAsia" w:ascii="仿宋" w:hAnsi="仿宋" w:eastAsia="仿宋" w:cs="仿宋"/>
                <w:color w:val="000000" w:themeColor="text1"/>
                <w:sz w:val="24"/>
                <w:szCs w:val="24"/>
                <w:highlight w:val="none"/>
                <w:lang w:val="zh-CN" w:eastAsia="zh-CN"/>
              </w:rPr>
            </w:pPr>
          </w:p>
          <w:p>
            <w:pPr>
              <w:bidi w:val="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en-US" w:eastAsia="zh-CN" w:bidi="zh-CN"/>
              </w:rPr>
              <w:t>4.</w:t>
            </w:r>
            <w:r>
              <w:rPr>
                <w:rFonts w:hint="eastAsia" w:ascii="仿宋" w:hAnsi="仿宋" w:eastAsia="仿宋" w:cs="仿宋"/>
                <w:color w:val="000000" w:themeColor="text1"/>
                <w:sz w:val="24"/>
                <w:szCs w:val="24"/>
                <w:highlight w:val="none"/>
                <w:lang w:val="zh-CN" w:eastAsia="zh-CN" w:bidi="zh-CN"/>
              </w:rPr>
              <w:t>建立风险分担机制</w:t>
            </w:r>
          </w:p>
        </w:tc>
        <w:tc>
          <w:tcPr>
            <w:tcW w:w="6133"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50" w:after="0" w:line="218" w:lineRule="auto"/>
              <w:ind w:left="107" w:leftChars="0" w:right="96" w:rightChars="0"/>
              <w:jc w:val="left"/>
              <w:rPr>
                <w:rFonts w:hint="eastAsia" w:ascii="仿宋" w:hAnsi="仿宋" w:eastAsia="仿宋" w:cs="仿宋"/>
                <w:color w:val="000000" w:themeColor="text1"/>
                <w:sz w:val="24"/>
                <w:szCs w:val="24"/>
                <w:highlight w:val="none"/>
                <w:lang w:val="zh-CN" w:eastAsia="zh-CN"/>
              </w:rPr>
            </w:pPr>
          </w:p>
          <w:p>
            <w:pPr>
              <w:bidi w:val="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建立医疗风险基金，设立医疗风险基金账户</w:t>
            </w:r>
          </w:p>
        </w:tc>
        <w:tc>
          <w:tcPr>
            <w:tcW w:w="1631" w:type="dxa"/>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rPr>
            </w:pPr>
          </w:p>
          <w:p>
            <w:pPr>
              <w:bidi w:val="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县卫生健康局、县财政局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696" w:type="dxa"/>
            <w:vMerge w:val="continue"/>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color w:val="000000" w:themeColor="text1"/>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tcPr>
          <w:p>
            <w:pPr>
              <w:widowControl w:val="0"/>
              <w:autoSpaceDE w:val="0"/>
              <w:autoSpaceDN w:val="0"/>
              <w:spacing w:before="26" w:after="0" w:line="278" w:lineRule="exact"/>
              <w:ind w:left="107" w:leftChars="0" w:right="17" w:rightChars="0"/>
              <w:jc w:val="left"/>
              <w:rPr>
                <w:rFonts w:hint="eastAsia" w:ascii="仿宋" w:hAnsi="仿宋" w:eastAsia="仿宋" w:cs="仿宋"/>
                <w:color w:val="000000" w:themeColor="text1"/>
                <w:sz w:val="24"/>
                <w:szCs w:val="24"/>
                <w:highlight w:val="none"/>
                <w:lang w:val="zh-CN" w:eastAsia="zh-CN" w:bidi="zh-CN"/>
              </w:rPr>
            </w:pPr>
          </w:p>
        </w:tc>
        <w:tc>
          <w:tcPr>
            <w:tcW w:w="6133" w:type="dxa"/>
            <w:tcBorders>
              <w:top w:val="single" w:color="auto" w:sz="4" w:space="0"/>
              <w:left w:val="single" w:color="auto" w:sz="4" w:space="0"/>
              <w:bottom w:val="single" w:color="auto" w:sz="4" w:space="0"/>
              <w:right w:val="single" w:color="auto" w:sz="4" w:space="0"/>
            </w:tcBorders>
            <w:vAlign w:val="top"/>
          </w:tcPr>
          <w:p>
            <w:pPr>
              <w:widowControl w:val="0"/>
              <w:tabs>
                <w:tab w:val="left" w:pos="304"/>
              </w:tabs>
              <w:autoSpaceDE w:val="0"/>
              <w:autoSpaceDN w:val="0"/>
              <w:spacing w:before="50" w:after="0" w:line="218" w:lineRule="auto"/>
              <w:ind w:left="107" w:leftChars="0" w:right="96" w:rightChars="0"/>
              <w:jc w:val="left"/>
              <w:rPr>
                <w:rFonts w:hint="eastAsia" w:ascii="仿宋" w:hAnsi="仿宋" w:eastAsia="仿宋" w:cs="仿宋"/>
                <w:color w:val="000000" w:themeColor="text1"/>
                <w:spacing w:val="-8"/>
                <w:sz w:val="24"/>
                <w:szCs w:val="24"/>
                <w:highlight w:val="none"/>
                <w:lang w:val="zh-CN" w:eastAsia="zh-CN" w:bidi="zh-CN"/>
              </w:rPr>
            </w:pPr>
            <w:r>
              <w:rPr>
                <w:rFonts w:hint="eastAsia" w:ascii="仿宋" w:hAnsi="仿宋" w:eastAsia="仿宋" w:cs="仿宋"/>
                <w:color w:val="000000" w:themeColor="text1"/>
                <w:spacing w:val="-8"/>
                <w:sz w:val="24"/>
                <w:szCs w:val="24"/>
                <w:highlight w:val="none"/>
                <w:lang w:val="zh-CN" w:eastAsia="zh-CN" w:bidi="zh-CN"/>
              </w:rPr>
              <w:t>严厉打击暴力伤医等涉医违法犯罪行为，维护医务人员合法权益。</w:t>
            </w:r>
          </w:p>
        </w:tc>
        <w:tc>
          <w:tcPr>
            <w:tcW w:w="1631" w:type="dxa"/>
            <w:tcBorders>
              <w:left w:val="single" w:color="auto" w:sz="4" w:space="0"/>
            </w:tcBorders>
          </w:tcPr>
          <w:p>
            <w:pPr>
              <w:widowControl w:val="0"/>
              <w:autoSpaceDE w:val="0"/>
              <w:autoSpaceDN w:val="0"/>
              <w:spacing w:before="81" w:after="0" w:line="218" w:lineRule="auto"/>
              <w:ind w:left="108" w:right="70"/>
              <w:jc w:val="left"/>
              <w:rPr>
                <w:rFonts w:hint="eastAsia" w:ascii="仿宋" w:hAnsi="仿宋" w:eastAsia="仿宋" w:cs="仿宋"/>
                <w:color w:val="000000" w:themeColor="text1"/>
                <w:sz w:val="24"/>
                <w:szCs w:val="24"/>
                <w:highlight w:val="none"/>
                <w:lang w:val="zh-CN" w:eastAsia="zh-CN" w:bidi="zh-CN"/>
              </w:rPr>
            </w:pPr>
            <w:r>
              <w:rPr>
                <w:rFonts w:hint="eastAsia" w:ascii="仿宋" w:hAnsi="仿宋" w:eastAsia="仿宋" w:cs="仿宋"/>
                <w:color w:val="000000" w:themeColor="text1"/>
                <w:sz w:val="24"/>
                <w:szCs w:val="24"/>
                <w:highlight w:val="none"/>
                <w:lang w:val="zh-CN" w:eastAsia="zh-CN" w:bidi="zh-CN"/>
              </w:rPr>
              <w:t>县公安局、各乡镇街道</w:t>
            </w:r>
          </w:p>
        </w:tc>
      </w:tr>
    </w:tbl>
    <w:p>
      <w:pPr>
        <w:pStyle w:val="3"/>
        <w:rPr>
          <w:rFonts w:hint="eastAsia" w:ascii="Times New Roman"/>
          <w:sz w:val="20"/>
          <w:highlight w:val="none"/>
          <w:lang w:val="zh-CN" w:eastAsia="zh-CN"/>
        </w:rPr>
      </w:pPr>
    </w:p>
    <w:sectPr>
      <w:footerReference r:id="rId5" w:type="default"/>
      <w:footerReference r:id="rId6" w:type="even"/>
      <w:pgSz w:w="11910" w:h="16840"/>
      <w:pgMar w:top="1580" w:right="1180" w:bottom="1680" w:left="1360" w:header="0" w:footer="14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097" o:spid="_x0000_s4097" o:spt="202" type="#_x0000_t202" style="position:absolute;left:0pt;margin-left:450.55pt;margin-top:756.05pt;height:16.05pt;width:16.0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r>
      <w:pict>
        <v:shape id="_x0000_s4098" o:spid="_x0000_s4098" o:spt="202" type="#_x0000_t202" style="position:absolute;left:0pt;margin-left:477.6pt;margin-top:756.05pt;height:16.05pt;width:1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0" w:line="321" w:lineRule="exact"/>
                  <w:ind w:left="40" w:right="0" w:firstLine="0"/>
                  <w:jc w:val="left"/>
                  <w:rPr>
                    <w:rFonts w:ascii="宋体"/>
                    <w:sz w:val="28"/>
                  </w:rPr>
                </w:pPr>
                <w:r>
                  <w:fldChar w:fldCharType="begin"/>
                </w:r>
                <w:r>
                  <w:rPr>
                    <w:rFonts w:ascii="宋体"/>
                    <w:sz w:val="28"/>
                  </w:rPr>
                  <w:instrText xml:space="preserve"> PAGE </w:instrText>
                </w:r>
                <w:r>
                  <w:fldChar w:fldCharType="separate"/>
                </w:r>
                <w:r>
                  <w:t>11</w:t>
                </w:r>
                <w:r>
                  <w:fldChar w:fldCharType="end"/>
                </w:r>
              </w:p>
            </w:txbxContent>
          </v:textbox>
        </v:shape>
      </w:pict>
    </w:r>
    <w:r>
      <w:pict>
        <v:shape id="_x0000_s4099" o:spid="_x0000_s4099" o:spt="202" type="#_x0000_t202" style="position:absolute;left:0pt;margin-left:506.6pt;margin-top:756.05pt;height:16.05pt;width:16.0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100" o:spid="_x0000_s4100" o:spt="202" type="#_x0000_t202" style="position:absolute;left:0pt;margin-left:72.65pt;margin-top:756.05pt;height:16.05pt;width:16.0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r>
      <w:pict>
        <v:shape id="_x0000_s4101" o:spid="_x0000_s4101" o:spt="202" type="#_x0000_t202" style="position:absolute;left:0pt;margin-left:99.6pt;margin-top:756.05pt;height:16.05pt;width:18.1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1" w:lineRule="exact"/>
                  <w:ind w:left="40" w:right="0" w:firstLine="0"/>
                  <w:jc w:val="left"/>
                  <w:rPr>
                    <w:rFonts w:ascii="宋体"/>
                    <w:sz w:val="28"/>
                  </w:rPr>
                </w:pPr>
                <w:r>
                  <w:fldChar w:fldCharType="begin"/>
                </w:r>
                <w:r>
                  <w:rPr>
                    <w:rFonts w:ascii="宋体"/>
                    <w:sz w:val="28"/>
                  </w:rPr>
                  <w:instrText xml:space="preserve"> PAGE </w:instrText>
                </w:r>
                <w:r>
                  <w:fldChar w:fldCharType="separate"/>
                </w:r>
                <w:r>
                  <w:t>10</w:t>
                </w:r>
                <w:r>
                  <w:fldChar w:fldCharType="end"/>
                </w:r>
              </w:p>
            </w:txbxContent>
          </v:textbox>
        </v:shape>
      </w:pict>
    </w:r>
    <w:r>
      <w:pict>
        <v:shape id="_x0000_s4102" o:spid="_x0000_s4102" o:spt="202" type="#_x0000_t202" style="position:absolute;left:0pt;margin-left:128.7pt;margin-top:756.05pt;height:16.05pt;width:16.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TAyNzMyMGI1MWJhN2E4ZjExMjc3ODBlZjgwNTBiMTQifQ=="/>
  </w:docVars>
  <w:rsids>
    <w:rsidRoot w:val="00000000"/>
    <w:rsid w:val="004E223B"/>
    <w:rsid w:val="0069744B"/>
    <w:rsid w:val="006C2831"/>
    <w:rsid w:val="006E0A99"/>
    <w:rsid w:val="00793864"/>
    <w:rsid w:val="00950240"/>
    <w:rsid w:val="00AF4417"/>
    <w:rsid w:val="00DA561C"/>
    <w:rsid w:val="01396E1E"/>
    <w:rsid w:val="01A21BA4"/>
    <w:rsid w:val="01AB7C9C"/>
    <w:rsid w:val="01BD7A4F"/>
    <w:rsid w:val="01E74ACC"/>
    <w:rsid w:val="01F80A87"/>
    <w:rsid w:val="02910A6D"/>
    <w:rsid w:val="02DC3F04"/>
    <w:rsid w:val="02F90EA3"/>
    <w:rsid w:val="031E74C2"/>
    <w:rsid w:val="0337738D"/>
    <w:rsid w:val="034870A7"/>
    <w:rsid w:val="03667C72"/>
    <w:rsid w:val="03AF33C7"/>
    <w:rsid w:val="03E75194"/>
    <w:rsid w:val="040C7AED"/>
    <w:rsid w:val="042B2438"/>
    <w:rsid w:val="044931C7"/>
    <w:rsid w:val="0458580D"/>
    <w:rsid w:val="046D32E5"/>
    <w:rsid w:val="046F4889"/>
    <w:rsid w:val="048A44A4"/>
    <w:rsid w:val="04940986"/>
    <w:rsid w:val="04E23BA4"/>
    <w:rsid w:val="04EB042F"/>
    <w:rsid w:val="04F05A45"/>
    <w:rsid w:val="05370057"/>
    <w:rsid w:val="05997E8B"/>
    <w:rsid w:val="05A141DD"/>
    <w:rsid w:val="05F67935"/>
    <w:rsid w:val="0610729F"/>
    <w:rsid w:val="06141F94"/>
    <w:rsid w:val="062D71EF"/>
    <w:rsid w:val="064C314F"/>
    <w:rsid w:val="064E31E5"/>
    <w:rsid w:val="0662280C"/>
    <w:rsid w:val="06D67D46"/>
    <w:rsid w:val="06F41120"/>
    <w:rsid w:val="0711495B"/>
    <w:rsid w:val="07170189"/>
    <w:rsid w:val="073B538E"/>
    <w:rsid w:val="073C06A5"/>
    <w:rsid w:val="078B6F23"/>
    <w:rsid w:val="079E07BB"/>
    <w:rsid w:val="07E01DA1"/>
    <w:rsid w:val="08297F72"/>
    <w:rsid w:val="089628FC"/>
    <w:rsid w:val="08AB011C"/>
    <w:rsid w:val="08C14B4C"/>
    <w:rsid w:val="08C2594B"/>
    <w:rsid w:val="08D31906"/>
    <w:rsid w:val="090E7492"/>
    <w:rsid w:val="09552ED6"/>
    <w:rsid w:val="095D4DC9"/>
    <w:rsid w:val="096D59F9"/>
    <w:rsid w:val="09703134"/>
    <w:rsid w:val="09B47A1D"/>
    <w:rsid w:val="09DD475F"/>
    <w:rsid w:val="09EE3789"/>
    <w:rsid w:val="09EF3B29"/>
    <w:rsid w:val="09FE7E9D"/>
    <w:rsid w:val="0A2543E3"/>
    <w:rsid w:val="0A741754"/>
    <w:rsid w:val="0A764D08"/>
    <w:rsid w:val="0A943317"/>
    <w:rsid w:val="0A9A4639"/>
    <w:rsid w:val="0A9E7CF1"/>
    <w:rsid w:val="0AAF0151"/>
    <w:rsid w:val="0AC94BF5"/>
    <w:rsid w:val="0ACB4F8A"/>
    <w:rsid w:val="0AD83203"/>
    <w:rsid w:val="0AF71C60"/>
    <w:rsid w:val="0B316438"/>
    <w:rsid w:val="0B367016"/>
    <w:rsid w:val="0B3C37A1"/>
    <w:rsid w:val="0B511A67"/>
    <w:rsid w:val="0B7D7F39"/>
    <w:rsid w:val="0C0555AD"/>
    <w:rsid w:val="0C0A1AE2"/>
    <w:rsid w:val="0C0F5A4C"/>
    <w:rsid w:val="0C807FF6"/>
    <w:rsid w:val="0C8F023A"/>
    <w:rsid w:val="0CAD2870"/>
    <w:rsid w:val="0D244B56"/>
    <w:rsid w:val="0D5F22B4"/>
    <w:rsid w:val="0DA379EE"/>
    <w:rsid w:val="0DA43871"/>
    <w:rsid w:val="0DC33506"/>
    <w:rsid w:val="0DCF1345"/>
    <w:rsid w:val="0E5125D6"/>
    <w:rsid w:val="0E99786C"/>
    <w:rsid w:val="0E9D17C6"/>
    <w:rsid w:val="0EA868D9"/>
    <w:rsid w:val="0EC464CF"/>
    <w:rsid w:val="0F531FF1"/>
    <w:rsid w:val="0F5446EB"/>
    <w:rsid w:val="0F5F0397"/>
    <w:rsid w:val="0F8D573D"/>
    <w:rsid w:val="0FB32196"/>
    <w:rsid w:val="0FF0007A"/>
    <w:rsid w:val="103709CC"/>
    <w:rsid w:val="104F21BA"/>
    <w:rsid w:val="10802FF2"/>
    <w:rsid w:val="1092654A"/>
    <w:rsid w:val="10A04710"/>
    <w:rsid w:val="10CF32FA"/>
    <w:rsid w:val="11162CD7"/>
    <w:rsid w:val="1136738F"/>
    <w:rsid w:val="11417E22"/>
    <w:rsid w:val="11531836"/>
    <w:rsid w:val="116C28F7"/>
    <w:rsid w:val="11AF29A7"/>
    <w:rsid w:val="12015D9C"/>
    <w:rsid w:val="120532BD"/>
    <w:rsid w:val="124B7F5F"/>
    <w:rsid w:val="125C155C"/>
    <w:rsid w:val="126F26FC"/>
    <w:rsid w:val="12862EC5"/>
    <w:rsid w:val="12AB4827"/>
    <w:rsid w:val="12C30517"/>
    <w:rsid w:val="12D13735"/>
    <w:rsid w:val="132964DD"/>
    <w:rsid w:val="1347448C"/>
    <w:rsid w:val="13533BDE"/>
    <w:rsid w:val="136A69FC"/>
    <w:rsid w:val="13A51CD3"/>
    <w:rsid w:val="13A758CB"/>
    <w:rsid w:val="13AE6EA6"/>
    <w:rsid w:val="13E744B7"/>
    <w:rsid w:val="13FF6503"/>
    <w:rsid w:val="14215C1B"/>
    <w:rsid w:val="143E32D9"/>
    <w:rsid w:val="14867C56"/>
    <w:rsid w:val="148C08A7"/>
    <w:rsid w:val="14BE6AE4"/>
    <w:rsid w:val="14C40172"/>
    <w:rsid w:val="14F8053A"/>
    <w:rsid w:val="15415E49"/>
    <w:rsid w:val="154263EC"/>
    <w:rsid w:val="15836462"/>
    <w:rsid w:val="15F17E77"/>
    <w:rsid w:val="163A5370"/>
    <w:rsid w:val="163B5F89"/>
    <w:rsid w:val="16746022"/>
    <w:rsid w:val="169F7296"/>
    <w:rsid w:val="16B55A0A"/>
    <w:rsid w:val="16CB1E6E"/>
    <w:rsid w:val="16DD5701"/>
    <w:rsid w:val="17071CC5"/>
    <w:rsid w:val="17290161"/>
    <w:rsid w:val="174F2638"/>
    <w:rsid w:val="176C36AC"/>
    <w:rsid w:val="177607DB"/>
    <w:rsid w:val="17807ED6"/>
    <w:rsid w:val="17A42169"/>
    <w:rsid w:val="17BB2FE4"/>
    <w:rsid w:val="17EF1B5C"/>
    <w:rsid w:val="18267CA4"/>
    <w:rsid w:val="18347C61"/>
    <w:rsid w:val="18512847"/>
    <w:rsid w:val="186D465F"/>
    <w:rsid w:val="18794759"/>
    <w:rsid w:val="18840EF6"/>
    <w:rsid w:val="188924A2"/>
    <w:rsid w:val="190432F2"/>
    <w:rsid w:val="190D47CD"/>
    <w:rsid w:val="19620BCB"/>
    <w:rsid w:val="1972340D"/>
    <w:rsid w:val="19BB2369"/>
    <w:rsid w:val="19C828C6"/>
    <w:rsid w:val="19CD3650"/>
    <w:rsid w:val="1A165196"/>
    <w:rsid w:val="1A3B730B"/>
    <w:rsid w:val="1A9C249F"/>
    <w:rsid w:val="1B2B37F3"/>
    <w:rsid w:val="1B2E636C"/>
    <w:rsid w:val="1B5B799F"/>
    <w:rsid w:val="1B60171F"/>
    <w:rsid w:val="1B8054ED"/>
    <w:rsid w:val="1BF87D6F"/>
    <w:rsid w:val="1C167792"/>
    <w:rsid w:val="1C250273"/>
    <w:rsid w:val="1C616E06"/>
    <w:rsid w:val="1C726FD2"/>
    <w:rsid w:val="1CC41839"/>
    <w:rsid w:val="1CD51B44"/>
    <w:rsid w:val="1CD7615D"/>
    <w:rsid w:val="1CFB1C2B"/>
    <w:rsid w:val="1CFF74C0"/>
    <w:rsid w:val="1D3E4266"/>
    <w:rsid w:val="1D53046B"/>
    <w:rsid w:val="1DBA07BA"/>
    <w:rsid w:val="1DD8374A"/>
    <w:rsid w:val="1DE64122"/>
    <w:rsid w:val="1E0060DB"/>
    <w:rsid w:val="1E0603A8"/>
    <w:rsid w:val="1E146D3B"/>
    <w:rsid w:val="1E256308"/>
    <w:rsid w:val="1E4470D6"/>
    <w:rsid w:val="1E7312D3"/>
    <w:rsid w:val="1EBD4177"/>
    <w:rsid w:val="1ED867C2"/>
    <w:rsid w:val="1ED9658A"/>
    <w:rsid w:val="1EDC25A0"/>
    <w:rsid w:val="1EEE2B9E"/>
    <w:rsid w:val="1EFA4B8E"/>
    <w:rsid w:val="1EFB3053"/>
    <w:rsid w:val="1F061F30"/>
    <w:rsid w:val="1F457681"/>
    <w:rsid w:val="1F5A6033"/>
    <w:rsid w:val="1F5D5021"/>
    <w:rsid w:val="1F5E1AA4"/>
    <w:rsid w:val="1F5F040C"/>
    <w:rsid w:val="1F6E53CE"/>
    <w:rsid w:val="1FB07C32"/>
    <w:rsid w:val="1FCD3566"/>
    <w:rsid w:val="1FD37FAB"/>
    <w:rsid w:val="208E4638"/>
    <w:rsid w:val="2097158A"/>
    <w:rsid w:val="20A93B49"/>
    <w:rsid w:val="20D97A4B"/>
    <w:rsid w:val="20E77F65"/>
    <w:rsid w:val="21090163"/>
    <w:rsid w:val="215D225D"/>
    <w:rsid w:val="21A659B2"/>
    <w:rsid w:val="21B9043A"/>
    <w:rsid w:val="21C436B8"/>
    <w:rsid w:val="21CD1190"/>
    <w:rsid w:val="21CF6E4D"/>
    <w:rsid w:val="22244B28"/>
    <w:rsid w:val="22370618"/>
    <w:rsid w:val="226338A3"/>
    <w:rsid w:val="22836844"/>
    <w:rsid w:val="228F7098"/>
    <w:rsid w:val="22954DFB"/>
    <w:rsid w:val="22995516"/>
    <w:rsid w:val="22A131F9"/>
    <w:rsid w:val="22A23C5B"/>
    <w:rsid w:val="22A94559"/>
    <w:rsid w:val="22BB1837"/>
    <w:rsid w:val="22D10242"/>
    <w:rsid w:val="22DB59AB"/>
    <w:rsid w:val="22F77CE6"/>
    <w:rsid w:val="233314C7"/>
    <w:rsid w:val="23466F17"/>
    <w:rsid w:val="23673D54"/>
    <w:rsid w:val="236E500D"/>
    <w:rsid w:val="23711A7C"/>
    <w:rsid w:val="23BD2B14"/>
    <w:rsid w:val="23D56092"/>
    <w:rsid w:val="23D60409"/>
    <w:rsid w:val="242B6B92"/>
    <w:rsid w:val="245C67FB"/>
    <w:rsid w:val="2494545D"/>
    <w:rsid w:val="24A65CC9"/>
    <w:rsid w:val="24CC572F"/>
    <w:rsid w:val="24F278EE"/>
    <w:rsid w:val="24FB4CFE"/>
    <w:rsid w:val="25014E04"/>
    <w:rsid w:val="250960CA"/>
    <w:rsid w:val="251F61A7"/>
    <w:rsid w:val="252D66FD"/>
    <w:rsid w:val="256C2BF9"/>
    <w:rsid w:val="25801570"/>
    <w:rsid w:val="259171E2"/>
    <w:rsid w:val="25A77F4A"/>
    <w:rsid w:val="25BF3725"/>
    <w:rsid w:val="25CD5C03"/>
    <w:rsid w:val="25CE22FD"/>
    <w:rsid w:val="25D30D3F"/>
    <w:rsid w:val="25E36393"/>
    <w:rsid w:val="263A2D39"/>
    <w:rsid w:val="265A6D6B"/>
    <w:rsid w:val="26705C05"/>
    <w:rsid w:val="2677791D"/>
    <w:rsid w:val="26C9136A"/>
    <w:rsid w:val="26CE5914"/>
    <w:rsid w:val="26D03CDF"/>
    <w:rsid w:val="26ED7254"/>
    <w:rsid w:val="26FC6074"/>
    <w:rsid w:val="272F01F7"/>
    <w:rsid w:val="2753038A"/>
    <w:rsid w:val="278B6F46"/>
    <w:rsid w:val="27F95D33"/>
    <w:rsid w:val="28000F80"/>
    <w:rsid w:val="283B2489"/>
    <w:rsid w:val="285048C9"/>
    <w:rsid w:val="28516CAB"/>
    <w:rsid w:val="285A2FA5"/>
    <w:rsid w:val="285B5109"/>
    <w:rsid w:val="28650375"/>
    <w:rsid w:val="28681237"/>
    <w:rsid w:val="28697EC8"/>
    <w:rsid w:val="286E09A4"/>
    <w:rsid w:val="28E55011"/>
    <w:rsid w:val="28E7741F"/>
    <w:rsid w:val="28FB17B2"/>
    <w:rsid w:val="29064F88"/>
    <w:rsid w:val="29100633"/>
    <w:rsid w:val="2916166F"/>
    <w:rsid w:val="29695C42"/>
    <w:rsid w:val="29800EF1"/>
    <w:rsid w:val="298615A0"/>
    <w:rsid w:val="29866B19"/>
    <w:rsid w:val="29C81BB8"/>
    <w:rsid w:val="29E0105F"/>
    <w:rsid w:val="29E52DB8"/>
    <w:rsid w:val="29EE7EF6"/>
    <w:rsid w:val="29F01EC0"/>
    <w:rsid w:val="29F911A4"/>
    <w:rsid w:val="2A2E29E8"/>
    <w:rsid w:val="2A3437D5"/>
    <w:rsid w:val="2A372967"/>
    <w:rsid w:val="2A45215D"/>
    <w:rsid w:val="2A7A5C2D"/>
    <w:rsid w:val="2AB87321"/>
    <w:rsid w:val="2B230073"/>
    <w:rsid w:val="2B25203D"/>
    <w:rsid w:val="2B276CB6"/>
    <w:rsid w:val="2B3E30FF"/>
    <w:rsid w:val="2B44637F"/>
    <w:rsid w:val="2B5B15BB"/>
    <w:rsid w:val="2B656BAE"/>
    <w:rsid w:val="2B7C05C4"/>
    <w:rsid w:val="2B7F4745"/>
    <w:rsid w:val="2B99123F"/>
    <w:rsid w:val="2BAE0E53"/>
    <w:rsid w:val="2BD66E93"/>
    <w:rsid w:val="2BDD46C6"/>
    <w:rsid w:val="2C163734"/>
    <w:rsid w:val="2C317E40"/>
    <w:rsid w:val="2C604777"/>
    <w:rsid w:val="2C842D93"/>
    <w:rsid w:val="2C995E28"/>
    <w:rsid w:val="2CAE6D47"/>
    <w:rsid w:val="2CC13E88"/>
    <w:rsid w:val="2D12039F"/>
    <w:rsid w:val="2D173C07"/>
    <w:rsid w:val="2D277A7B"/>
    <w:rsid w:val="2D3A16A4"/>
    <w:rsid w:val="2D3B78DB"/>
    <w:rsid w:val="2D466AA8"/>
    <w:rsid w:val="2D6706EB"/>
    <w:rsid w:val="2D901951"/>
    <w:rsid w:val="2DA90D03"/>
    <w:rsid w:val="2DF15178"/>
    <w:rsid w:val="2E2F9147"/>
    <w:rsid w:val="2E4722CA"/>
    <w:rsid w:val="2E657EB5"/>
    <w:rsid w:val="2E7806D6"/>
    <w:rsid w:val="2E892307"/>
    <w:rsid w:val="2E89643F"/>
    <w:rsid w:val="2E953665"/>
    <w:rsid w:val="2EC456C9"/>
    <w:rsid w:val="2ED577F4"/>
    <w:rsid w:val="2F3517DE"/>
    <w:rsid w:val="2F596FC4"/>
    <w:rsid w:val="2FA97D17"/>
    <w:rsid w:val="2FB24B2F"/>
    <w:rsid w:val="2FD8074E"/>
    <w:rsid w:val="2FE14059"/>
    <w:rsid w:val="2FEC4F22"/>
    <w:rsid w:val="3014442E"/>
    <w:rsid w:val="306E1D90"/>
    <w:rsid w:val="30745830"/>
    <w:rsid w:val="30B05F05"/>
    <w:rsid w:val="30BF083E"/>
    <w:rsid w:val="30C9346B"/>
    <w:rsid w:val="30E91417"/>
    <w:rsid w:val="31085479"/>
    <w:rsid w:val="31186742"/>
    <w:rsid w:val="31913241"/>
    <w:rsid w:val="31C27C38"/>
    <w:rsid w:val="31FB548D"/>
    <w:rsid w:val="325820E9"/>
    <w:rsid w:val="32734279"/>
    <w:rsid w:val="332B04B8"/>
    <w:rsid w:val="333344CA"/>
    <w:rsid w:val="334F40FB"/>
    <w:rsid w:val="3353749F"/>
    <w:rsid w:val="33846EDB"/>
    <w:rsid w:val="33DC34B5"/>
    <w:rsid w:val="33EC194A"/>
    <w:rsid w:val="342A06C4"/>
    <w:rsid w:val="3437693D"/>
    <w:rsid w:val="343C4A89"/>
    <w:rsid w:val="353652CF"/>
    <w:rsid w:val="35380AC0"/>
    <w:rsid w:val="35450577"/>
    <w:rsid w:val="357F28DA"/>
    <w:rsid w:val="35947156"/>
    <w:rsid w:val="35C80195"/>
    <w:rsid w:val="362834A2"/>
    <w:rsid w:val="362A6B65"/>
    <w:rsid w:val="36423309"/>
    <w:rsid w:val="368A71F8"/>
    <w:rsid w:val="36BA5D2F"/>
    <w:rsid w:val="36D13079"/>
    <w:rsid w:val="36FA437E"/>
    <w:rsid w:val="372614E7"/>
    <w:rsid w:val="376161AB"/>
    <w:rsid w:val="37895702"/>
    <w:rsid w:val="37AE408F"/>
    <w:rsid w:val="37AE4DF6"/>
    <w:rsid w:val="381C5BED"/>
    <w:rsid w:val="38233809"/>
    <w:rsid w:val="386A1D1C"/>
    <w:rsid w:val="387B136B"/>
    <w:rsid w:val="388E25E0"/>
    <w:rsid w:val="38975BFC"/>
    <w:rsid w:val="38A731BC"/>
    <w:rsid w:val="38F140EB"/>
    <w:rsid w:val="38F328B4"/>
    <w:rsid w:val="39387D98"/>
    <w:rsid w:val="39697599"/>
    <w:rsid w:val="397F7B3F"/>
    <w:rsid w:val="39CB5970"/>
    <w:rsid w:val="3A0B777B"/>
    <w:rsid w:val="3A0E5E56"/>
    <w:rsid w:val="3A175247"/>
    <w:rsid w:val="3A2636DC"/>
    <w:rsid w:val="3A2F57A2"/>
    <w:rsid w:val="3A395700"/>
    <w:rsid w:val="3ACE5550"/>
    <w:rsid w:val="3AEA1FD3"/>
    <w:rsid w:val="3B1B0D67"/>
    <w:rsid w:val="3B6E43A4"/>
    <w:rsid w:val="3B8C3A12"/>
    <w:rsid w:val="3BD3519D"/>
    <w:rsid w:val="3C115BCF"/>
    <w:rsid w:val="3C166767"/>
    <w:rsid w:val="3C1E4520"/>
    <w:rsid w:val="3C5A3BA1"/>
    <w:rsid w:val="3C7A61F2"/>
    <w:rsid w:val="3C7D20E9"/>
    <w:rsid w:val="3CA73DD4"/>
    <w:rsid w:val="3CAF42BA"/>
    <w:rsid w:val="3CBB196F"/>
    <w:rsid w:val="3CBB2B2A"/>
    <w:rsid w:val="3CC73059"/>
    <w:rsid w:val="3CDB201C"/>
    <w:rsid w:val="3CE60F00"/>
    <w:rsid w:val="3D030674"/>
    <w:rsid w:val="3D4F3E78"/>
    <w:rsid w:val="3D4F7B53"/>
    <w:rsid w:val="3D807EFF"/>
    <w:rsid w:val="3D9C6E8A"/>
    <w:rsid w:val="3DDC6D31"/>
    <w:rsid w:val="3E3A7756"/>
    <w:rsid w:val="3E463465"/>
    <w:rsid w:val="3E8BD61B"/>
    <w:rsid w:val="3EE776D3"/>
    <w:rsid w:val="3EEB64F7"/>
    <w:rsid w:val="3F5B5BD6"/>
    <w:rsid w:val="3F914E72"/>
    <w:rsid w:val="3FD17B82"/>
    <w:rsid w:val="3FEA088C"/>
    <w:rsid w:val="3FEC5D4E"/>
    <w:rsid w:val="401C1E3E"/>
    <w:rsid w:val="401E05AF"/>
    <w:rsid w:val="40516B3C"/>
    <w:rsid w:val="40AF5539"/>
    <w:rsid w:val="40CD48B1"/>
    <w:rsid w:val="40D71201"/>
    <w:rsid w:val="40F6350C"/>
    <w:rsid w:val="40FB7670"/>
    <w:rsid w:val="41160006"/>
    <w:rsid w:val="415E375B"/>
    <w:rsid w:val="41725499"/>
    <w:rsid w:val="4199063B"/>
    <w:rsid w:val="41B810BD"/>
    <w:rsid w:val="42206453"/>
    <w:rsid w:val="426556F9"/>
    <w:rsid w:val="427039FB"/>
    <w:rsid w:val="42D04E2A"/>
    <w:rsid w:val="42D51CD5"/>
    <w:rsid w:val="430345BA"/>
    <w:rsid w:val="43232415"/>
    <w:rsid w:val="43434DD2"/>
    <w:rsid w:val="43566DE0"/>
    <w:rsid w:val="43746BB8"/>
    <w:rsid w:val="439664EE"/>
    <w:rsid w:val="43C55D14"/>
    <w:rsid w:val="43DA644B"/>
    <w:rsid w:val="43EB1B46"/>
    <w:rsid w:val="441D166A"/>
    <w:rsid w:val="4464361D"/>
    <w:rsid w:val="44735345"/>
    <w:rsid w:val="44AD5AB7"/>
    <w:rsid w:val="44BB462F"/>
    <w:rsid w:val="44C22253"/>
    <w:rsid w:val="44D53D34"/>
    <w:rsid w:val="44E34E33"/>
    <w:rsid w:val="44F10E51"/>
    <w:rsid w:val="45050ABD"/>
    <w:rsid w:val="45252F0E"/>
    <w:rsid w:val="45B749EB"/>
    <w:rsid w:val="46316A81"/>
    <w:rsid w:val="46452D3B"/>
    <w:rsid w:val="46BE62B8"/>
    <w:rsid w:val="46C37968"/>
    <w:rsid w:val="46CE4EDF"/>
    <w:rsid w:val="46DD3BFE"/>
    <w:rsid w:val="471825FE"/>
    <w:rsid w:val="47243D6E"/>
    <w:rsid w:val="474A5605"/>
    <w:rsid w:val="474B4782"/>
    <w:rsid w:val="474F6359"/>
    <w:rsid w:val="4765466F"/>
    <w:rsid w:val="477C07C1"/>
    <w:rsid w:val="47B1127D"/>
    <w:rsid w:val="47C02C73"/>
    <w:rsid w:val="47C71640"/>
    <w:rsid w:val="47D85559"/>
    <w:rsid w:val="47DB3D58"/>
    <w:rsid w:val="484713ED"/>
    <w:rsid w:val="48737664"/>
    <w:rsid w:val="48C06AA9"/>
    <w:rsid w:val="48D25A5D"/>
    <w:rsid w:val="48D45798"/>
    <w:rsid w:val="4925753D"/>
    <w:rsid w:val="49291385"/>
    <w:rsid w:val="493A5A4D"/>
    <w:rsid w:val="493F0316"/>
    <w:rsid w:val="49782C3D"/>
    <w:rsid w:val="49784423"/>
    <w:rsid w:val="4A0A0924"/>
    <w:rsid w:val="4A485FEA"/>
    <w:rsid w:val="4A587CBB"/>
    <w:rsid w:val="4AE7656F"/>
    <w:rsid w:val="4B045373"/>
    <w:rsid w:val="4B105AC6"/>
    <w:rsid w:val="4B441C14"/>
    <w:rsid w:val="4B685DB3"/>
    <w:rsid w:val="4B8C5113"/>
    <w:rsid w:val="4B9A5CD8"/>
    <w:rsid w:val="4BD20FB2"/>
    <w:rsid w:val="4BF75BE1"/>
    <w:rsid w:val="4BFEAA0E"/>
    <w:rsid w:val="4C117EAE"/>
    <w:rsid w:val="4C377A64"/>
    <w:rsid w:val="4C436BB5"/>
    <w:rsid w:val="4C571AC7"/>
    <w:rsid w:val="4C767255"/>
    <w:rsid w:val="4CD866E8"/>
    <w:rsid w:val="4CEF09AC"/>
    <w:rsid w:val="4D3E590F"/>
    <w:rsid w:val="4D42277A"/>
    <w:rsid w:val="4D9F465E"/>
    <w:rsid w:val="4DD77616"/>
    <w:rsid w:val="4DDB3C78"/>
    <w:rsid w:val="4DFB10BB"/>
    <w:rsid w:val="4DFC5713"/>
    <w:rsid w:val="4E1B1B91"/>
    <w:rsid w:val="4E3A10AC"/>
    <w:rsid w:val="4E912F9F"/>
    <w:rsid w:val="4E9F7546"/>
    <w:rsid w:val="4EA824BA"/>
    <w:rsid w:val="4EE13DF1"/>
    <w:rsid w:val="4EEF5217"/>
    <w:rsid w:val="4EF372CA"/>
    <w:rsid w:val="4EF676C9"/>
    <w:rsid w:val="4EFD45B3"/>
    <w:rsid w:val="4F3005A4"/>
    <w:rsid w:val="4F3A7437"/>
    <w:rsid w:val="4F3D70A6"/>
    <w:rsid w:val="4F9A3223"/>
    <w:rsid w:val="4FBA06F6"/>
    <w:rsid w:val="4FDC670B"/>
    <w:rsid w:val="4FFE18CB"/>
    <w:rsid w:val="501A7EBC"/>
    <w:rsid w:val="503109FF"/>
    <w:rsid w:val="505B285C"/>
    <w:rsid w:val="509C7395"/>
    <w:rsid w:val="50CC2F10"/>
    <w:rsid w:val="50E7551B"/>
    <w:rsid w:val="518C64EF"/>
    <w:rsid w:val="519234F5"/>
    <w:rsid w:val="51B353FD"/>
    <w:rsid w:val="51E27A91"/>
    <w:rsid w:val="521368B0"/>
    <w:rsid w:val="52922CA9"/>
    <w:rsid w:val="52A37C23"/>
    <w:rsid w:val="52CE07BD"/>
    <w:rsid w:val="52EE61F4"/>
    <w:rsid w:val="53000B16"/>
    <w:rsid w:val="531E71EE"/>
    <w:rsid w:val="53351DA9"/>
    <w:rsid w:val="53EF1AC3"/>
    <w:rsid w:val="546830D7"/>
    <w:rsid w:val="54EF6115"/>
    <w:rsid w:val="54F9581D"/>
    <w:rsid w:val="5540169E"/>
    <w:rsid w:val="557C4FF2"/>
    <w:rsid w:val="55D7727B"/>
    <w:rsid w:val="55DD6E6F"/>
    <w:rsid w:val="56131B99"/>
    <w:rsid w:val="56197D89"/>
    <w:rsid w:val="56244B1C"/>
    <w:rsid w:val="56466AA8"/>
    <w:rsid w:val="565D378C"/>
    <w:rsid w:val="5671669C"/>
    <w:rsid w:val="56815048"/>
    <w:rsid w:val="56883DAB"/>
    <w:rsid w:val="56906B7A"/>
    <w:rsid w:val="56A33C92"/>
    <w:rsid w:val="56A65531"/>
    <w:rsid w:val="56AC30D1"/>
    <w:rsid w:val="56BA5402"/>
    <w:rsid w:val="56C651D8"/>
    <w:rsid w:val="571C41A7"/>
    <w:rsid w:val="57225757"/>
    <w:rsid w:val="573265F8"/>
    <w:rsid w:val="57392C6C"/>
    <w:rsid w:val="57676DCA"/>
    <w:rsid w:val="577B076B"/>
    <w:rsid w:val="57902D28"/>
    <w:rsid w:val="57A52D2A"/>
    <w:rsid w:val="57CA69DC"/>
    <w:rsid w:val="57D367F9"/>
    <w:rsid w:val="57E65F44"/>
    <w:rsid w:val="57FD3EC2"/>
    <w:rsid w:val="580805D6"/>
    <w:rsid w:val="58293713"/>
    <w:rsid w:val="5831536C"/>
    <w:rsid w:val="5849128F"/>
    <w:rsid w:val="5881254A"/>
    <w:rsid w:val="58ED38EB"/>
    <w:rsid w:val="58F235E0"/>
    <w:rsid w:val="5947613E"/>
    <w:rsid w:val="59934BD7"/>
    <w:rsid w:val="59CF26FC"/>
    <w:rsid w:val="59D6612D"/>
    <w:rsid w:val="59E23EAB"/>
    <w:rsid w:val="59F05952"/>
    <w:rsid w:val="5A0C0C27"/>
    <w:rsid w:val="5A58103D"/>
    <w:rsid w:val="5A5B2473"/>
    <w:rsid w:val="5A6976C9"/>
    <w:rsid w:val="5ACB546B"/>
    <w:rsid w:val="5AE0542B"/>
    <w:rsid w:val="5AEE74A6"/>
    <w:rsid w:val="5B0A2FDA"/>
    <w:rsid w:val="5B105CCE"/>
    <w:rsid w:val="5B5A4B3C"/>
    <w:rsid w:val="5B70435F"/>
    <w:rsid w:val="5B9462A0"/>
    <w:rsid w:val="5BFE4672"/>
    <w:rsid w:val="5C052CF9"/>
    <w:rsid w:val="5C337866"/>
    <w:rsid w:val="5C4606A3"/>
    <w:rsid w:val="5C482556"/>
    <w:rsid w:val="5C983B6D"/>
    <w:rsid w:val="5CD32DF8"/>
    <w:rsid w:val="5CF411CF"/>
    <w:rsid w:val="5D2062E5"/>
    <w:rsid w:val="5D4B5084"/>
    <w:rsid w:val="5D7E6160"/>
    <w:rsid w:val="5DB746DE"/>
    <w:rsid w:val="5DE86327"/>
    <w:rsid w:val="5DF83D7E"/>
    <w:rsid w:val="5E0019CA"/>
    <w:rsid w:val="5E225DE5"/>
    <w:rsid w:val="5E282CCF"/>
    <w:rsid w:val="5E5F47B7"/>
    <w:rsid w:val="5E7E672F"/>
    <w:rsid w:val="5EAB6B6A"/>
    <w:rsid w:val="5EB22BCB"/>
    <w:rsid w:val="5ED3016F"/>
    <w:rsid w:val="5EEF7115"/>
    <w:rsid w:val="5F1A4335"/>
    <w:rsid w:val="5F1C0A86"/>
    <w:rsid w:val="5F1D1B2E"/>
    <w:rsid w:val="5F2FDFC1"/>
    <w:rsid w:val="5F447FDD"/>
    <w:rsid w:val="5F605F70"/>
    <w:rsid w:val="5FCA6734"/>
    <w:rsid w:val="5FDA2BCA"/>
    <w:rsid w:val="5FF748C9"/>
    <w:rsid w:val="5FF904FF"/>
    <w:rsid w:val="60453AA2"/>
    <w:rsid w:val="604E005F"/>
    <w:rsid w:val="605064F3"/>
    <w:rsid w:val="60A4186A"/>
    <w:rsid w:val="60A47FD6"/>
    <w:rsid w:val="60CB6DD3"/>
    <w:rsid w:val="60D66A94"/>
    <w:rsid w:val="60F35816"/>
    <w:rsid w:val="6134408D"/>
    <w:rsid w:val="618A51FD"/>
    <w:rsid w:val="618B5A4F"/>
    <w:rsid w:val="619B21A0"/>
    <w:rsid w:val="61AD790C"/>
    <w:rsid w:val="61E52B68"/>
    <w:rsid w:val="61F92E2B"/>
    <w:rsid w:val="62340FB2"/>
    <w:rsid w:val="625211AE"/>
    <w:rsid w:val="625925E2"/>
    <w:rsid w:val="62733F28"/>
    <w:rsid w:val="62970423"/>
    <w:rsid w:val="62970A6B"/>
    <w:rsid w:val="62972E2E"/>
    <w:rsid w:val="6299419B"/>
    <w:rsid w:val="634761AA"/>
    <w:rsid w:val="63735A12"/>
    <w:rsid w:val="63AB687C"/>
    <w:rsid w:val="63B374DF"/>
    <w:rsid w:val="63B53183"/>
    <w:rsid w:val="63B76FCF"/>
    <w:rsid w:val="63FA510E"/>
    <w:rsid w:val="640D6BEF"/>
    <w:rsid w:val="6433082C"/>
    <w:rsid w:val="64436AB5"/>
    <w:rsid w:val="64D2592A"/>
    <w:rsid w:val="64FF306E"/>
    <w:rsid w:val="651D5558"/>
    <w:rsid w:val="652E1805"/>
    <w:rsid w:val="65654809"/>
    <w:rsid w:val="65817895"/>
    <w:rsid w:val="658904F7"/>
    <w:rsid w:val="65954D4B"/>
    <w:rsid w:val="65C967B4"/>
    <w:rsid w:val="661A0A16"/>
    <w:rsid w:val="662957BE"/>
    <w:rsid w:val="663B7C6B"/>
    <w:rsid w:val="66612CC3"/>
    <w:rsid w:val="66A55799"/>
    <w:rsid w:val="66B37912"/>
    <w:rsid w:val="66F36A12"/>
    <w:rsid w:val="66F44C74"/>
    <w:rsid w:val="66F62437"/>
    <w:rsid w:val="67116F40"/>
    <w:rsid w:val="67412203"/>
    <w:rsid w:val="67632F3A"/>
    <w:rsid w:val="67751742"/>
    <w:rsid w:val="67972404"/>
    <w:rsid w:val="67B677B3"/>
    <w:rsid w:val="67BA2898"/>
    <w:rsid w:val="67CA446A"/>
    <w:rsid w:val="67DA328C"/>
    <w:rsid w:val="67DB205D"/>
    <w:rsid w:val="67DC089E"/>
    <w:rsid w:val="67F73E3E"/>
    <w:rsid w:val="681A18DB"/>
    <w:rsid w:val="6832055B"/>
    <w:rsid w:val="683F1D16"/>
    <w:rsid w:val="68464EA5"/>
    <w:rsid w:val="686E57B6"/>
    <w:rsid w:val="68A93953"/>
    <w:rsid w:val="68AD6BF3"/>
    <w:rsid w:val="691E1C56"/>
    <w:rsid w:val="69284733"/>
    <w:rsid w:val="6933534A"/>
    <w:rsid w:val="69431D21"/>
    <w:rsid w:val="6958125A"/>
    <w:rsid w:val="69731BEA"/>
    <w:rsid w:val="698C438C"/>
    <w:rsid w:val="69AC2A06"/>
    <w:rsid w:val="69BA5C11"/>
    <w:rsid w:val="69C04704"/>
    <w:rsid w:val="69F33EF6"/>
    <w:rsid w:val="6A170C00"/>
    <w:rsid w:val="6A260A0B"/>
    <w:rsid w:val="6A3749C6"/>
    <w:rsid w:val="6A3C5FED"/>
    <w:rsid w:val="6A8B23B5"/>
    <w:rsid w:val="6B225676"/>
    <w:rsid w:val="6B3B04E6"/>
    <w:rsid w:val="6B456CAC"/>
    <w:rsid w:val="6BC93D43"/>
    <w:rsid w:val="6BE300BA"/>
    <w:rsid w:val="6BF921A2"/>
    <w:rsid w:val="6C240F7A"/>
    <w:rsid w:val="6CCB5899"/>
    <w:rsid w:val="6D003124"/>
    <w:rsid w:val="6D072568"/>
    <w:rsid w:val="6D12171A"/>
    <w:rsid w:val="6D142F9F"/>
    <w:rsid w:val="6D3B4818"/>
    <w:rsid w:val="6D540D5C"/>
    <w:rsid w:val="6E3A57AF"/>
    <w:rsid w:val="6E3F653F"/>
    <w:rsid w:val="6E6C4E5A"/>
    <w:rsid w:val="6EB73860"/>
    <w:rsid w:val="6EBE12D6"/>
    <w:rsid w:val="6EC4422A"/>
    <w:rsid w:val="6ED806B3"/>
    <w:rsid w:val="6EF33708"/>
    <w:rsid w:val="6F1D062A"/>
    <w:rsid w:val="6F282B2F"/>
    <w:rsid w:val="6F330DC7"/>
    <w:rsid w:val="6F67729C"/>
    <w:rsid w:val="6F8833E8"/>
    <w:rsid w:val="6FFF1B4E"/>
    <w:rsid w:val="70041454"/>
    <w:rsid w:val="7020414E"/>
    <w:rsid w:val="706C6C21"/>
    <w:rsid w:val="708B7F10"/>
    <w:rsid w:val="70AE3508"/>
    <w:rsid w:val="70E21403"/>
    <w:rsid w:val="70F5124E"/>
    <w:rsid w:val="71035FB5"/>
    <w:rsid w:val="71870411"/>
    <w:rsid w:val="718C272C"/>
    <w:rsid w:val="719D6DB9"/>
    <w:rsid w:val="71C56D5B"/>
    <w:rsid w:val="7214383E"/>
    <w:rsid w:val="723425B6"/>
    <w:rsid w:val="7242215A"/>
    <w:rsid w:val="72587BCF"/>
    <w:rsid w:val="727254D8"/>
    <w:rsid w:val="729735D4"/>
    <w:rsid w:val="72C2329A"/>
    <w:rsid w:val="72F12C84"/>
    <w:rsid w:val="72FD7CE3"/>
    <w:rsid w:val="730333A6"/>
    <w:rsid w:val="733741F0"/>
    <w:rsid w:val="7360175E"/>
    <w:rsid w:val="73A6496A"/>
    <w:rsid w:val="73C2557F"/>
    <w:rsid w:val="73D642C7"/>
    <w:rsid w:val="74065409"/>
    <w:rsid w:val="74201D6A"/>
    <w:rsid w:val="74235813"/>
    <w:rsid w:val="74612E23"/>
    <w:rsid w:val="747E4F57"/>
    <w:rsid w:val="74870180"/>
    <w:rsid w:val="74C432FA"/>
    <w:rsid w:val="74D54C46"/>
    <w:rsid w:val="75181898"/>
    <w:rsid w:val="752A418C"/>
    <w:rsid w:val="753C5586"/>
    <w:rsid w:val="75721B56"/>
    <w:rsid w:val="76161308"/>
    <w:rsid w:val="766905FD"/>
    <w:rsid w:val="767C32E5"/>
    <w:rsid w:val="76896FDB"/>
    <w:rsid w:val="76975EA8"/>
    <w:rsid w:val="76D65566"/>
    <w:rsid w:val="77013C1F"/>
    <w:rsid w:val="770874F9"/>
    <w:rsid w:val="77215325"/>
    <w:rsid w:val="774D46B0"/>
    <w:rsid w:val="777E1288"/>
    <w:rsid w:val="77B07B65"/>
    <w:rsid w:val="77CD35B7"/>
    <w:rsid w:val="77E438B6"/>
    <w:rsid w:val="77E7D0B5"/>
    <w:rsid w:val="78047EB1"/>
    <w:rsid w:val="781D3F22"/>
    <w:rsid w:val="7832197B"/>
    <w:rsid w:val="78E8594D"/>
    <w:rsid w:val="78F430E2"/>
    <w:rsid w:val="79224A93"/>
    <w:rsid w:val="794C7D62"/>
    <w:rsid w:val="7951199E"/>
    <w:rsid w:val="797A042B"/>
    <w:rsid w:val="799A0ACD"/>
    <w:rsid w:val="79A56337"/>
    <w:rsid w:val="79E058C3"/>
    <w:rsid w:val="79F50E66"/>
    <w:rsid w:val="7A1268B5"/>
    <w:rsid w:val="7A6B7DC0"/>
    <w:rsid w:val="7AA515CD"/>
    <w:rsid w:val="7AD36CAF"/>
    <w:rsid w:val="7B48052D"/>
    <w:rsid w:val="7B4A02D1"/>
    <w:rsid w:val="7B634C12"/>
    <w:rsid w:val="7B643AC1"/>
    <w:rsid w:val="7B89662A"/>
    <w:rsid w:val="7BA960CC"/>
    <w:rsid w:val="7BD596BB"/>
    <w:rsid w:val="7C4135B9"/>
    <w:rsid w:val="7C460A98"/>
    <w:rsid w:val="7C86562F"/>
    <w:rsid w:val="7C916012"/>
    <w:rsid w:val="7C9573B2"/>
    <w:rsid w:val="7C9C2DAE"/>
    <w:rsid w:val="7CF93D5D"/>
    <w:rsid w:val="7D2065AA"/>
    <w:rsid w:val="7D2A089C"/>
    <w:rsid w:val="7D717D97"/>
    <w:rsid w:val="7D7B25A4"/>
    <w:rsid w:val="7DB77972"/>
    <w:rsid w:val="7DC51E91"/>
    <w:rsid w:val="7E015318"/>
    <w:rsid w:val="7E6D18E0"/>
    <w:rsid w:val="7E8C34AC"/>
    <w:rsid w:val="7EAB20D0"/>
    <w:rsid w:val="7EBB576E"/>
    <w:rsid w:val="7EDC3936"/>
    <w:rsid w:val="7F107B1C"/>
    <w:rsid w:val="7F345520"/>
    <w:rsid w:val="7F4B1E47"/>
    <w:rsid w:val="7FAE0E2E"/>
    <w:rsid w:val="7FBA27AE"/>
    <w:rsid w:val="7FBE45A5"/>
    <w:rsid w:val="7FC22B2C"/>
    <w:rsid w:val="7FC25F63"/>
    <w:rsid w:val="7FCE0D68"/>
    <w:rsid w:val="7FDB04BF"/>
    <w:rsid w:val="7FF4427A"/>
    <w:rsid w:val="7FFD24D3"/>
    <w:rsid w:val="ADFFD7EF"/>
    <w:rsid w:val="AFBEA2BE"/>
    <w:rsid w:val="BB53D812"/>
    <w:rsid w:val="BDEBD015"/>
    <w:rsid w:val="BFC613AA"/>
    <w:rsid w:val="C9DF81AD"/>
    <w:rsid w:val="CFFF150A"/>
    <w:rsid w:val="D3FECBBA"/>
    <w:rsid w:val="D73FC19C"/>
    <w:rsid w:val="DDEC2DCD"/>
    <w:rsid w:val="DDEF82EE"/>
    <w:rsid w:val="EF274938"/>
    <w:rsid w:val="EFBDF7A9"/>
    <w:rsid w:val="F2334C95"/>
    <w:rsid w:val="FB5461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404"/>
      <w:outlineLvl w:val="1"/>
    </w:pPr>
    <w:rPr>
      <w:rFonts w:ascii="方正小标宋简体" w:hAnsi="方正小标宋简体" w:eastAsia="方正小标宋简体" w:cs="方正小标宋简体"/>
      <w:sz w:val="44"/>
      <w:szCs w:val="44"/>
      <w:lang w:val="zh-CN" w:eastAsia="zh-CN" w:bidi="zh-CN"/>
    </w:rPr>
  </w:style>
  <w:style w:type="character" w:default="1" w:styleId="7">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Normal (Web)"/>
    <w:qFormat/>
    <w:uiPriority w:val="99"/>
    <w:pPr>
      <w:widowControl w:val="0"/>
      <w:spacing w:beforeAutospacing="1" w:afterAutospacing="1" w:line="365" w:lineRule="atLeast"/>
      <w:ind w:firstLine="0"/>
      <w:jc w:val="left"/>
      <w:textAlignment w:val="bottom"/>
    </w:pPr>
    <w:rPr>
      <w:rFonts w:ascii="Calibri" w:hAnsi="Calibri" w:eastAsia="宋体" w:cs="Times New Roman"/>
      <w:color w:val="auto"/>
      <w:sz w:val="24"/>
      <w:szCs w:val="22"/>
      <w:u w:color="000000"/>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90"/>
      <w:ind w:left="113" w:right="377" w:firstLine="631"/>
    </w:pPr>
    <w:rPr>
      <w:rFonts w:ascii="仿宋_GB2312" w:hAnsi="仿宋_GB2312" w:eastAsia="仿宋_GB2312" w:cs="仿宋_GB2312"/>
      <w:lang w:val="zh-CN" w:eastAsia="zh-CN" w:bidi="zh-CN"/>
    </w:rPr>
  </w:style>
  <w:style w:type="paragraph" w:customStyle="1" w:styleId="10">
    <w:name w:val="Table Paragraph"/>
    <w:basedOn w:val="1"/>
    <w:qFormat/>
    <w:uiPriority w:val="1"/>
    <w:rPr>
      <w:lang w:val="zh-CN" w:eastAsia="zh-CN" w:bidi="zh-CN"/>
    </w:rPr>
  </w:style>
  <w:style w:type="paragraph" w:customStyle="1" w:styleId="11">
    <w:name w:val="Body Text Indent 2_bb4d1f65-70a2-4f69-8af3-194d898dc300"/>
    <w:qFormat/>
    <w:uiPriority w:val="0"/>
    <w:pPr>
      <w:widowControl w:val="0"/>
      <w:spacing w:before="100" w:beforeAutospacing="1" w:after="120" w:line="480" w:lineRule="auto"/>
      <w:ind w:left="200" w:leftChars="200" w:firstLine="0"/>
      <w:jc w:val="both"/>
      <w:textAlignment w:val="auto"/>
    </w:pPr>
    <w:rPr>
      <w:rFonts w:ascii="Times New Roman" w:hAnsi="Times New Roman" w:eastAsia="宋体" w:cs="Times New Roman"/>
      <w:color w:val="auto"/>
      <w:kern w:val="2"/>
      <w:sz w:val="21"/>
      <w:szCs w:val="24"/>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10124</Words>
  <Characters>10276</Characters>
  <TotalTime>49</TotalTime>
  <ScaleCrop>false</ScaleCrop>
  <LinksUpToDate>false</LinksUpToDate>
  <CharactersWithSpaces>10313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2022-03-07T18:24:00Z</dcterms:created>
  <dc:creator>RJeGov</dc:creator>
  <cp:lastModifiedBy>Zhangwp</cp:lastModifiedBy>
  <cp:lastPrinted>2022-08-10T02:11:00Z</cp:lastPrinted>
  <dcterms:modified xsi:type="dcterms:W3CDTF">2022-08-10T09:32:58Z</dcterms:modified>
  <dc:title>正文文件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WPS Office</vt:lpwstr>
  </property>
  <property fmtid="{D5CDD505-2E9C-101B-9397-08002B2CF9AE}" pid="4" name="LastSaved">
    <vt:filetime>2022-03-01T00:00:00Z</vt:filetime>
  </property>
  <property fmtid="{D5CDD505-2E9C-101B-9397-08002B2CF9AE}" pid="5" name="KSOProductBuildVer">
    <vt:lpwstr>2052-11.1.0.12302</vt:lpwstr>
  </property>
  <property fmtid="{D5CDD505-2E9C-101B-9397-08002B2CF9AE}" pid="6" name="ICV">
    <vt:lpwstr>77E547559D684EF7B34FFDFE6E236314</vt:lpwstr>
  </property>
</Properties>
</file>