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C" w:rsidRPr="001201D6" w:rsidRDefault="00CC5FDC" w:rsidP="001201D6">
      <w:pPr>
        <w:widowControl/>
        <w:shd w:val="clear" w:color="auto" w:fill="FFFFFF"/>
        <w:spacing w:line="360" w:lineRule="auto"/>
        <w:ind w:leftChars="-171" w:left="-359" w:firstLineChars="81" w:firstLine="292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1201D6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浙江钦寸水库有限公司</w:t>
      </w:r>
    </w:p>
    <w:p w:rsidR="00CC5FDC" w:rsidRPr="001201D6" w:rsidRDefault="00CC5FDC" w:rsidP="00CC5FDC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1201D6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员工招聘公告</w:t>
      </w:r>
    </w:p>
    <w:p w:rsidR="00CC5FDC" w:rsidRPr="001201D6" w:rsidRDefault="00CC5FDC" w:rsidP="001201D6">
      <w:pPr>
        <w:widowControl/>
        <w:shd w:val="clear" w:color="auto" w:fill="FFFFFF"/>
        <w:spacing w:line="360" w:lineRule="auto"/>
        <w:ind w:firstLineChars="200" w:firstLine="720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</w:p>
    <w:p w:rsidR="00CC5FDC" w:rsidRPr="001201D6" w:rsidRDefault="00CC5FDC" w:rsidP="003C5D41">
      <w:pPr>
        <w:widowControl/>
        <w:shd w:val="clear" w:color="auto" w:fill="FFFFFF"/>
        <w:spacing w:line="540" w:lineRule="exact"/>
        <w:ind w:firstLine="585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因水库运行管理工作需要，浙江钦寸水库有限公司（以下简称“公司”）决定面向</w:t>
      </w:r>
      <w:r w:rsidR="001201D6" w:rsidRPr="001201D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2020年高校应届毕业生</w:t>
      </w:r>
      <w:r w:rsidRPr="001201D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公开招聘企业员工6名。现将相关事项公告如下：</w:t>
      </w:r>
    </w:p>
    <w:p w:rsidR="00CC5FDC" w:rsidRPr="001201D6" w:rsidRDefault="00CC5FDC" w:rsidP="003C5D41">
      <w:pPr>
        <w:widowControl/>
        <w:numPr>
          <w:ilvl w:val="0"/>
          <w:numId w:val="1"/>
        </w:numPr>
        <w:shd w:val="clear" w:color="auto" w:fill="FFFFFF"/>
        <w:spacing w:line="540" w:lineRule="exac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宋体" w:cs="宋体" w:hint="eastAsia"/>
          <w:b/>
          <w:color w:val="000000" w:themeColor="text1"/>
          <w:kern w:val="0"/>
          <w:sz w:val="30"/>
          <w:szCs w:val="30"/>
        </w:rPr>
        <w:t>公司简介</w:t>
      </w:r>
    </w:p>
    <w:p w:rsidR="00CC5FDC" w:rsidRPr="001201D6" w:rsidRDefault="00CC5FDC" w:rsidP="001201D6">
      <w:pPr>
        <w:widowControl/>
        <w:shd w:val="clear" w:color="auto" w:fill="FFFFFF"/>
        <w:spacing w:line="540" w:lineRule="exact"/>
        <w:ind w:firstLineChars="200" w:firstLine="600"/>
        <w:jc w:val="left"/>
        <w:rPr>
          <w:rFonts w:ascii="仿宋_GB2312" w:eastAsia="仿宋_GB2312" w:hAnsi="Arial" w:cs="Arial"/>
          <w:color w:val="000000" w:themeColor="text1"/>
          <w:sz w:val="30"/>
          <w:szCs w:val="30"/>
          <w:shd w:val="clear" w:color="auto" w:fill="FFFFFF"/>
        </w:rPr>
      </w:pP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浙江钦寸水库有限公司位于</w:t>
      </w:r>
      <w:r w:rsidR="00AE3183" w:rsidRPr="001201D6">
        <w:rPr>
          <w:rFonts w:ascii="仿宋_GB2312" w:eastAsia="仿宋_GB2312" w:hint="eastAsia"/>
          <w:color w:val="000000" w:themeColor="text1"/>
          <w:sz w:val="30"/>
          <w:szCs w:val="30"/>
        </w:rPr>
        <w:t>浙江省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新昌县羽林街道铁顶山钦寸水库管理</w:t>
      </w:r>
      <w:r w:rsidR="00AE3183" w:rsidRPr="001201D6">
        <w:rPr>
          <w:rFonts w:ascii="仿宋_GB2312" w:eastAsia="仿宋_GB2312" w:hint="eastAsia"/>
          <w:color w:val="000000" w:themeColor="text1"/>
          <w:sz w:val="30"/>
          <w:szCs w:val="30"/>
        </w:rPr>
        <w:t>区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。公司系由</w:t>
      </w:r>
      <w:r w:rsidR="00576927" w:rsidRPr="001201D6">
        <w:rPr>
          <w:rFonts w:ascii="仿宋_GB2312" w:eastAsia="仿宋_GB2312" w:hint="eastAsia"/>
          <w:color w:val="000000" w:themeColor="text1"/>
          <w:sz w:val="30"/>
          <w:szCs w:val="30"/>
        </w:rPr>
        <w:t>新昌</w:t>
      </w:r>
      <w:r w:rsidR="003B5A8E" w:rsidRPr="001201D6">
        <w:rPr>
          <w:rFonts w:ascii="仿宋_GB2312" w:eastAsia="仿宋_GB2312" w:hint="eastAsia"/>
          <w:color w:val="000000" w:themeColor="text1"/>
          <w:sz w:val="30"/>
          <w:szCs w:val="30"/>
        </w:rPr>
        <w:t>、宁波</w:t>
      </w:r>
      <w:r w:rsidR="00AE3183" w:rsidRPr="001201D6">
        <w:rPr>
          <w:rFonts w:ascii="仿宋_GB2312" w:eastAsia="仿宋_GB2312" w:hint="eastAsia"/>
          <w:color w:val="000000" w:themeColor="text1"/>
          <w:sz w:val="30"/>
          <w:szCs w:val="30"/>
        </w:rPr>
        <w:t>两地合作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设立，作为项目法人负责钦寸水库工程建设，并承担钦寸水库运行管理职能。</w:t>
      </w:r>
      <w:r w:rsidR="00AE3183" w:rsidRPr="001201D6">
        <w:rPr>
          <w:rFonts w:ascii="仿宋_GB2312" w:eastAsia="仿宋_GB2312" w:hAnsi="Arial" w:cs="Arial" w:hint="eastAsia"/>
          <w:color w:val="000000" w:themeColor="text1"/>
          <w:sz w:val="30"/>
          <w:szCs w:val="30"/>
          <w:shd w:val="clear" w:color="auto" w:fill="FFFFFF"/>
        </w:rPr>
        <w:t>钦寸水库是一座以供水、防洪为主，兼顾灌溉和发电等综合利用的国家大(二)型水库，水库总库容2.44亿立方米，每年可向宁波市提供1.26亿立方米优质水。</w:t>
      </w:r>
    </w:p>
    <w:p w:rsidR="00CC5FDC" w:rsidRPr="001201D6" w:rsidRDefault="00CC5FDC" w:rsidP="003C5D41">
      <w:pPr>
        <w:widowControl/>
        <w:shd w:val="clear" w:color="auto" w:fill="FFFFFF"/>
        <w:spacing w:line="540" w:lineRule="exact"/>
        <w:ind w:firstLine="585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宋体" w:cs="宋体" w:hint="eastAsia"/>
          <w:b/>
          <w:color w:val="000000" w:themeColor="text1"/>
          <w:kern w:val="0"/>
          <w:sz w:val="30"/>
          <w:szCs w:val="30"/>
        </w:rPr>
        <w:t>二、招聘原则和办法</w:t>
      </w:r>
    </w:p>
    <w:p w:rsidR="001201D6" w:rsidRPr="001201D6" w:rsidRDefault="001201D6" w:rsidP="001201D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员工招聘工作坚持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公开、平等、竞争、择优和亲属回避原则，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按照德才兼备的用人标准，通过发布招聘公告、应聘报名、资格审查、面试、体检、考察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公示等程序面向2020年高校毕业生公开招聘。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b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b/>
          <w:color w:val="000000" w:themeColor="text1"/>
          <w:sz w:val="30"/>
          <w:szCs w:val="30"/>
        </w:rPr>
        <w:t>三、招聘对象基本条件</w:t>
      </w:r>
    </w:p>
    <w:p w:rsidR="00CC5FDC" w:rsidRPr="001201D6" w:rsidRDefault="00CC5FDC" w:rsidP="001201D6">
      <w:pPr>
        <w:pStyle w:val="p0"/>
        <w:snapToGrid w:val="0"/>
        <w:spacing w:before="0" w:beforeAutospacing="0" w:after="0" w:afterAutospacing="0" w:line="540" w:lineRule="exact"/>
        <w:ind w:firstLineChars="200"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1、遵守中华人民共和国宪法、法律和法规；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2、遵守纪律、品行端正，具备良好的职业素质；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3、具有招聘岗位所需的任职资格要求；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4、具有适应岗位要求的身体条件；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5、年龄3</w:t>
      </w:r>
      <w:r w:rsidR="00AE3183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0</w:t>
      </w: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周岁以下（19</w:t>
      </w:r>
      <w:r w:rsidR="00AE3183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89</w:t>
      </w: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年</w:t>
      </w:r>
      <w:r w:rsidR="00AE3183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11</w:t>
      </w: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月</w:t>
      </w:r>
      <w:r w:rsidR="00414F23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21</w:t>
      </w: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日后出生）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6、具备岗位工作所需的其他条件。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b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b/>
          <w:color w:val="000000" w:themeColor="text1"/>
          <w:sz w:val="30"/>
          <w:szCs w:val="30"/>
        </w:rPr>
        <w:lastRenderedPageBreak/>
        <w:t>四、招聘岗位、招聘人数、岗位工作内容、任职资格和具体用人单位</w:t>
      </w:r>
    </w:p>
    <w:p w:rsidR="00CC5FDC" w:rsidRPr="001201D6" w:rsidRDefault="00CC5FDC" w:rsidP="003C5D41">
      <w:pPr>
        <w:pStyle w:val="p0"/>
        <w:snapToGrid w:val="0"/>
        <w:spacing w:before="0" w:beforeAutospacing="0" w:after="0" w:afterAutospacing="0" w:line="540" w:lineRule="exact"/>
        <w:ind w:firstLine="600"/>
        <w:rPr>
          <w:rFonts w:ascii="仿宋_GB2312" w:eastAsia="仿宋_GB2312" w:hAnsi="Tahoma" w:cs="Tahoma"/>
          <w:color w:val="000000" w:themeColor="text1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本次招聘岗位、招聘人数、岗位工作内容、任职资格如下表所示：</w:t>
      </w:r>
    </w:p>
    <w:tbl>
      <w:tblPr>
        <w:tblW w:w="9072" w:type="dxa"/>
        <w:tblInd w:w="108" w:type="dxa"/>
        <w:tblLayout w:type="fixed"/>
        <w:tblLook w:val="0000"/>
      </w:tblPr>
      <w:tblGrid>
        <w:gridCol w:w="1421"/>
        <w:gridCol w:w="834"/>
        <w:gridCol w:w="1224"/>
        <w:gridCol w:w="1341"/>
        <w:gridCol w:w="1701"/>
        <w:gridCol w:w="1097"/>
        <w:gridCol w:w="1454"/>
      </w:tblGrid>
      <w:tr w:rsidR="00E326D0" w:rsidRPr="001201D6" w:rsidTr="00882066">
        <w:trPr>
          <w:trHeight w:val="547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岗位名称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招聘人数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主要工作内容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资格</w:t>
            </w:r>
            <w:r w:rsid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条件</w:t>
            </w:r>
          </w:p>
        </w:tc>
      </w:tr>
      <w:tr w:rsidR="00E326D0" w:rsidRPr="001201D6" w:rsidTr="00882066">
        <w:trPr>
          <w:trHeight w:val="570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学历      （全日制）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1201D6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学历</w:t>
            </w:r>
            <w:r w:rsidR="00E326D0"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对应的专业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 w:val="24"/>
              </w:rPr>
              <w:t>年龄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其他要求</w:t>
            </w:r>
          </w:p>
        </w:tc>
      </w:tr>
      <w:tr w:rsidR="00E326D0" w:rsidRPr="001201D6" w:rsidTr="00882066">
        <w:trPr>
          <w:trHeight w:val="9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水文水资源管理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6F19C1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水文观测、预报、水资源调度、水文资料整编等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大学本科及以上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水文与水资源工程及相关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30周岁以下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94239B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2020年</w:t>
            </w:r>
            <w:r w:rsidR="001201D6">
              <w:rPr>
                <w:rFonts w:ascii="仿宋_GB2312" w:eastAsia="仿宋_GB2312" w:hint="eastAsia"/>
                <w:color w:val="000000" w:themeColor="text1"/>
                <w:sz w:val="24"/>
              </w:rPr>
              <w:t>高校</w:t>
            </w: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应届毕业生</w:t>
            </w:r>
          </w:p>
        </w:tc>
      </w:tr>
      <w:tr w:rsidR="00E326D0" w:rsidRPr="001201D6" w:rsidTr="00882066">
        <w:trPr>
          <w:trHeight w:val="9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水工技术</w:t>
            </w:r>
          </w:p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6F19C1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大坝安全观测、水利工程管理</w:t>
            </w:r>
            <w:r w:rsidR="006F19C1"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水利水电工程、水工建筑工程及相关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326D0" w:rsidRPr="001201D6" w:rsidTr="00882066">
        <w:trPr>
          <w:trHeight w:val="9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文秘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414F23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公文写作</w:t>
            </w:r>
            <w:r w:rsidR="00414F23">
              <w:rPr>
                <w:rFonts w:ascii="仿宋_GB2312" w:eastAsia="仿宋_GB2312" w:hint="eastAsia"/>
                <w:color w:val="000000" w:themeColor="text1"/>
                <w:sz w:val="24"/>
              </w:rPr>
              <w:t>、宣传报道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文秘、新闻学、汉语言文学及相关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326D0" w:rsidRPr="001201D6" w:rsidTr="00882066">
        <w:trPr>
          <w:trHeight w:val="9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党务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党建纪检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思想政治教育、</w:t>
            </w: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政治学、马克思主义哲学及相关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326D0" w:rsidRPr="001201D6" w:rsidTr="00882066">
        <w:trPr>
          <w:trHeight w:val="9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机电设备运行管理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电站、闸门等</w:t>
            </w:r>
            <w:r w:rsidR="006F19C1"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机电设备</w:t>
            </w: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运行管理</w:t>
            </w: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201D6">
              <w:rPr>
                <w:rFonts w:ascii="仿宋_GB2312" w:eastAsia="仿宋_GB2312" w:hint="eastAsia"/>
                <w:color w:val="000000" w:themeColor="text1"/>
                <w:sz w:val="24"/>
              </w:rPr>
              <w:t>电气工程及自动化、机电一体化及相关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0" w:rsidRPr="001201D6" w:rsidRDefault="00E326D0" w:rsidP="00882066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CC5FDC" w:rsidRPr="001201D6" w:rsidRDefault="00CC5FDC" w:rsidP="001201D6">
      <w:pPr>
        <w:widowControl/>
        <w:snapToGrid w:val="0"/>
        <w:spacing w:line="540" w:lineRule="exact"/>
        <w:ind w:firstLineChars="196" w:firstLine="590"/>
        <w:jc w:val="left"/>
        <w:rPr>
          <w:rFonts w:ascii="仿宋_GB2312" w:eastAsia="仿宋_GB2312" w:hAnsi="Tahoma" w:cs="Tahoma"/>
          <w:b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b/>
          <w:color w:val="000000" w:themeColor="text1"/>
          <w:kern w:val="0"/>
          <w:sz w:val="30"/>
          <w:szCs w:val="30"/>
        </w:rPr>
        <w:t>五、报名时间与方式</w:t>
      </w:r>
    </w:p>
    <w:p w:rsidR="00CC5FDC" w:rsidRPr="001201D6" w:rsidRDefault="00CC5FDC" w:rsidP="003C5D41">
      <w:pPr>
        <w:widowControl/>
        <w:snapToGrid w:val="0"/>
        <w:spacing w:line="540" w:lineRule="exact"/>
        <w:ind w:firstLine="600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本次</w:t>
      </w:r>
      <w:r w:rsidR="006F19C1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招聘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报名时间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截止2019年</w:t>
      </w:r>
      <w:r w:rsidR="00DD3B7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12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月</w:t>
      </w:r>
      <w:r w:rsidR="006C49AD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5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日</w:t>
      </w:r>
      <w:r w:rsidR="0032555B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，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报名采取电子邮件报名的方式进行。有意者请下载填写 “应聘报名登记表”，连同个人简历、</w:t>
      </w:r>
      <w:r w:rsidR="00ED2924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毕业生推荐表（或学籍相关证明）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、成绩</w:t>
      </w:r>
      <w:r w:rsidR="00ED2924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单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、荣誉奖励证书、</w:t>
      </w:r>
      <w:hyperlink r:id="rId7" w:history="1">
        <w:r w:rsidRPr="001201D6">
          <w:rPr>
            <w:rStyle w:val="a3"/>
            <w:rFonts w:ascii="仿宋_GB2312" w:eastAsia="仿宋_GB2312" w:hAnsi="Tahoma" w:cs="Tahoma" w:hint="eastAsia"/>
            <w:color w:val="000000" w:themeColor="text1"/>
            <w:kern w:val="0"/>
            <w:sz w:val="30"/>
            <w:szCs w:val="30"/>
          </w:rPr>
          <w:t>身份证等材料，以电子邮件形式发至</w:t>
        </w:r>
        <w:r w:rsidR="006F19C1" w:rsidRPr="001201D6">
          <w:rPr>
            <w:rStyle w:val="a3"/>
            <w:rFonts w:ascii="仿宋_GB2312" w:eastAsia="仿宋_GB2312" w:hAnsi="Tahoma" w:cs="Tahoma" w:hint="eastAsia"/>
            <w:color w:val="000000" w:themeColor="text1"/>
            <w:kern w:val="0"/>
            <w:sz w:val="30"/>
            <w:szCs w:val="30"/>
          </w:rPr>
          <w:t>zjqcsk</w:t>
        </w:r>
        <w:r w:rsidRPr="001201D6">
          <w:rPr>
            <w:rStyle w:val="a3"/>
            <w:rFonts w:ascii="仿宋_GB2312" w:eastAsia="仿宋_GB2312" w:hAnsi="Tahoma" w:cs="Tahoma" w:hint="eastAsia"/>
            <w:color w:val="000000" w:themeColor="text1"/>
            <w:kern w:val="0"/>
            <w:sz w:val="30"/>
            <w:szCs w:val="30"/>
          </w:rPr>
          <w:t>@</w:t>
        </w:r>
        <w:r w:rsidR="006F19C1" w:rsidRPr="001201D6">
          <w:rPr>
            <w:rStyle w:val="a3"/>
            <w:rFonts w:ascii="仿宋_GB2312" w:eastAsia="仿宋_GB2312" w:hAnsi="Tahoma" w:cs="Tahoma" w:hint="eastAsia"/>
            <w:color w:val="000000" w:themeColor="text1"/>
            <w:kern w:val="0"/>
            <w:sz w:val="30"/>
            <w:szCs w:val="30"/>
          </w:rPr>
          <w:t>163</w:t>
        </w:r>
        <w:r w:rsidRPr="001201D6">
          <w:rPr>
            <w:rStyle w:val="a3"/>
            <w:rFonts w:ascii="仿宋_GB2312" w:eastAsia="仿宋_GB2312" w:hAnsi="Tahoma" w:cs="Tahoma" w:hint="eastAsia"/>
            <w:color w:val="000000" w:themeColor="text1"/>
            <w:kern w:val="0"/>
            <w:sz w:val="30"/>
            <w:szCs w:val="30"/>
          </w:rPr>
          <w:t>.com</w:t>
        </w:r>
      </w:hyperlink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报名</w:t>
      </w:r>
      <w:r w:rsid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。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邮件发送后请致电057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5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-</w:t>
      </w:r>
      <w:r w:rsidR="006F19C1"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86266201或86266125</w:t>
      </w: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确认接收。</w:t>
      </w:r>
    </w:p>
    <w:p w:rsidR="00CC5FDC" w:rsidRPr="001201D6" w:rsidRDefault="00CC5FDC" w:rsidP="003C5D41">
      <w:pPr>
        <w:widowControl/>
        <w:snapToGrid w:val="0"/>
        <w:spacing w:line="540" w:lineRule="exact"/>
        <w:ind w:firstLine="600"/>
        <w:jc w:val="left"/>
        <w:rPr>
          <w:rFonts w:ascii="仿宋_GB2312" w:eastAsia="仿宋_GB2312" w:hAnsi="Tahoma" w:cs="Tahoma"/>
          <w:b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b/>
          <w:color w:val="000000" w:themeColor="text1"/>
          <w:kern w:val="0"/>
          <w:sz w:val="30"/>
          <w:szCs w:val="30"/>
        </w:rPr>
        <w:t>六、相关规定</w:t>
      </w:r>
    </w:p>
    <w:p w:rsidR="003C5D41" w:rsidRPr="001201D6" w:rsidRDefault="0094239B" w:rsidP="001201D6">
      <w:pPr>
        <w:pStyle w:val="p0"/>
        <w:spacing w:before="0" w:beforeAutospacing="0" w:after="0" w:afterAutospacing="0" w:line="540" w:lineRule="exact"/>
        <w:ind w:firstLineChars="181" w:firstLine="543"/>
        <w:rPr>
          <w:rFonts w:ascii="仿宋_GB2312" w:eastAsia="仿宋_GB2312"/>
          <w:color w:val="000000" w:themeColor="text1"/>
          <w:kern w:val="2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lastRenderedPageBreak/>
        <w:t>面试</w:t>
      </w:r>
      <w:r w:rsidR="00CC5FDC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时间暂定</w:t>
      </w:r>
      <w:r w:rsidR="00DD3B7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12</w:t>
      </w:r>
      <w:r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月</w:t>
      </w:r>
      <w:r w:rsidR="006C49AD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中</w:t>
      </w:r>
      <w:r w:rsidR="00D92034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旬</w:t>
      </w:r>
      <w:r w:rsidR="00CC5FDC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，具体时间另行通知。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体检标准</w:t>
      </w:r>
      <w:r w:rsid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和</w:t>
      </w:r>
      <w:r w:rsidR="003C5D41" w:rsidRPr="001201D6">
        <w:rPr>
          <w:rFonts w:ascii="仿宋_GB2312" w:eastAsia="仿宋_GB2312" w:hint="eastAsia"/>
          <w:color w:val="000000" w:themeColor="text1"/>
          <w:sz w:val="30"/>
          <w:szCs w:val="30"/>
        </w:rPr>
        <w:t>考察办法参照</w:t>
      </w:r>
      <w:r w:rsidR="001201D6">
        <w:rPr>
          <w:rFonts w:ascii="仿宋_GB2312" w:eastAsia="仿宋_GB2312" w:hint="eastAsia"/>
          <w:color w:val="000000" w:themeColor="text1"/>
          <w:sz w:val="30"/>
          <w:szCs w:val="30"/>
        </w:rPr>
        <w:t>公务员</w:t>
      </w:r>
      <w:r w:rsidR="001026B7">
        <w:rPr>
          <w:rFonts w:ascii="仿宋_GB2312" w:eastAsia="仿宋_GB2312" w:hint="eastAsia"/>
          <w:color w:val="000000" w:themeColor="text1"/>
          <w:sz w:val="30"/>
          <w:szCs w:val="30"/>
        </w:rPr>
        <w:t>招考</w:t>
      </w:r>
      <w:r w:rsidR="001201D6">
        <w:rPr>
          <w:rFonts w:ascii="仿宋_GB2312" w:eastAsia="仿宋_GB2312" w:hint="eastAsia"/>
          <w:color w:val="000000" w:themeColor="text1"/>
          <w:sz w:val="30"/>
          <w:szCs w:val="30"/>
        </w:rPr>
        <w:t>有关规定</w:t>
      </w:r>
      <w:r w:rsidR="003C5D41" w:rsidRPr="001201D6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CC5FDC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拟录用人员公示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5个工作日</w:t>
      </w:r>
      <w:r w:rsidR="00CC5FDC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无异议后</w:t>
      </w:r>
      <w:r w:rsidR="00E326D0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予以录用</w:t>
      </w:r>
      <w:r w:rsidR="00CC5FDC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。</w:t>
      </w:r>
      <w:r w:rsidR="00CC5FDC" w:rsidRPr="001201D6">
        <w:rPr>
          <w:rFonts w:ascii="仿宋_GB2312" w:eastAsia="仿宋_GB2312" w:hint="eastAsia"/>
          <w:color w:val="000000" w:themeColor="text1"/>
          <w:sz w:val="30"/>
          <w:szCs w:val="30"/>
        </w:rPr>
        <w:t>公司对所有应聘人员信息保密，并谢绝来访。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应聘</w:t>
      </w:r>
      <w:r w:rsidR="003C5D41" w:rsidRPr="001201D6">
        <w:rPr>
          <w:rFonts w:ascii="仿宋_GB2312" w:eastAsia="仿宋_GB2312" w:hint="eastAsia"/>
          <w:color w:val="000000" w:themeColor="text1"/>
          <w:kern w:val="2"/>
          <w:sz w:val="30"/>
          <w:szCs w:val="30"/>
        </w:rPr>
        <w:t>咨询电话： 0575-</w:t>
      </w:r>
      <w:r w:rsidR="003C5D41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86266125</w:t>
      </w:r>
      <w:r w:rsidR="00F93E9A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或13867878949</w:t>
      </w:r>
      <w:r w:rsidR="003C5D41" w:rsidRPr="001201D6">
        <w:rPr>
          <w:rFonts w:ascii="仿宋_GB2312" w:eastAsia="仿宋_GB2312" w:hAnsi="Tahoma" w:cs="Tahoma" w:hint="eastAsia"/>
          <w:color w:val="000000" w:themeColor="text1"/>
          <w:sz w:val="30"/>
          <w:szCs w:val="30"/>
        </w:rPr>
        <w:t>。</w:t>
      </w:r>
    </w:p>
    <w:p w:rsidR="00CC5FDC" w:rsidRPr="001201D6" w:rsidRDefault="00CC5FDC" w:rsidP="003C5D41">
      <w:pPr>
        <w:widowControl/>
        <w:snapToGrid w:val="0"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</w:p>
    <w:p w:rsidR="00CC5FDC" w:rsidRPr="001201D6" w:rsidRDefault="00E77AAA" w:rsidP="003C5D41">
      <w:pPr>
        <w:widowControl/>
        <w:snapToGrid w:val="0"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 xml:space="preserve">    附件：应聘报名登记表</w:t>
      </w:r>
    </w:p>
    <w:p w:rsidR="00E77AAA" w:rsidRPr="001201D6" w:rsidRDefault="00E77AAA" w:rsidP="003C5D41">
      <w:pPr>
        <w:widowControl/>
        <w:snapToGrid w:val="0"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</w:p>
    <w:p w:rsidR="00E77AAA" w:rsidRDefault="00E77AAA" w:rsidP="003C5D41">
      <w:pPr>
        <w:widowControl/>
        <w:snapToGrid w:val="0"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</w:p>
    <w:p w:rsidR="0094239B" w:rsidRPr="001201D6" w:rsidRDefault="0094239B" w:rsidP="003C5D41">
      <w:pPr>
        <w:widowControl/>
        <w:snapToGrid w:val="0"/>
        <w:spacing w:line="540" w:lineRule="exact"/>
        <w:jc w:val="lef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</w:p>
    <w:p w:rsidR="00CC5FDC" w:rsidRPr="001201D6" w:rsidRDefault="00E326D0" w:rsidP="003C5D41">
      <w:pPr>
        <w:widowControl/>
        <w:spacing w:line="540" w:lineRule="exact"/>
        <w:ind w:right="600"/>
        <w:jc w:val="right"/>
        <w:rPr>
          <w:rFonts w:ascii="仿宋_GB2312" w:eastAsia="仿宋_GB2312" w:hAnsi="Tahoma" w:cs="Tahoma"/>
          <w:color w:val="000000" w:themeColor="text1"/>
          <w:kern w:val="0"/>
          <w:sz w:val="30"/>
          <w:szCs w:val="30"/>
        </w:rPr>
      </w:pPr>
      <w:r w:rsidRPr="001201D6">
        <w:rPr>
          <w:rFonts w:ascii="仿宋_GB2312" w:eastAsia="仿宋_GB2312" w:hAnsi="Tahoma" w:cs="Tahoma" w:hint="eastAsia"/>
          <w:color w:val="000000" w:themeColor="text1"/>
          <w:kern w:val="0"/>
          <w:sz w:val="30"/>
          <w:szCs w:val="30"/>
        </w:rPr>
        <w:t>浙江钦寸水库有限公司</w:t>
      </w:r>
    </w:p>
    <w:p w:rsidR="00CC5FDC" w:rsidRPr="001201D6" w:rsidRDefault="00CC5FDC" w:rsidP="003C5D41">
      <w:pPr>
        <w:spacing w:line="540" w:lineRule="exact"/>
        <w:rPr>
          <w:rFonts w:ascii="仿宋_GB2312" w:eastAsia="仿宋_GB2312"/>
          <w:color w:val="000000" w:themeColor="text1"/>
          <w:sz w:val="30"/>
          <w:szCs w:val="30"/>
        </w:rPr>
      </w:pP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                      </w:t>
      </w:r>
      <w:r w:rsidR="001201D6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</w:t>
      </w:r>
      <w:r w:rsidR="00E77AAA" w:rsidRPr="001201D6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201</w:t>
      </w:r>
      <w:r w:rsidR="00E326D0" w:rsidRPr="001201D6">
        <w:rPr>
          <w:rFonts w:ascii="仿宋_GB2312" w:eastAsia="仿宋_GB2312" w:hint="eastAsia"/>
          <w:color w:val="000000" w:themeColor="text1"/>
          <w:sz w:val="30"/>
          <w:szCs w:val="30"/>
        </w:rPr>
        <w:t>9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E77AAA" w:rsidRPr="001201D6">
        <w:rPr>
          <w:rFonts w:ascii="仿宋_GB2312" w:eastAsia="仿宋_GB2312" w:hint="eastAsia"/>
          <w:color w:val="000000" w:themeColor="text1"/>
          <w:sz w:val="30"/>
          <w:szCs w:val="30"/>
        </w:rPr>
        <w:t>11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DD3B76">
        <w:rPr>
          <w:rFonts w:ascii="仿宋_GB2312" w:eastAsia="仿宋_GB2312" w:hint="eastAsia"/>
          <w:color w:val="000000" w:themeColor="text1"/>
          <w:sz w:val="30"/>
          <w:szCs w:val="30"/>
        </w:rPr>
        <w:t>21</w:t>
      </w:r>
      <w:r w:rsidRPr="001201D6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:rsidR="00693778" w:rsidRPr="001201D6" w:rsidRDefault="00693778" w:rsidP="003C5D41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693778" w:rsidRPr="001201D6" w:rsidSect="00C07779">
      <w:pgSz w:w="11906" w:h="16838"/>
      <w:pgMar w:top="1091" w:right="1286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7E" w:rsidRDefault="00E4487E" w:rsidP="006F19C1">
      <w:r>
        <w:separator/>
      </w:r>
    </w:p>
  </w:endnote>
  <w:endnote w:type="continuationSeparator" w:id="1">
    <w:p w:rsidR="00E4487E" w:rsidRDefault="00E4487E" w:rsidP="006F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7E" w:rsidRDefault="00E4487E" w:rsidP="006F19C1">
      <w:r>
        <w:separator/>
      </w:r>
    </w:p>
  </w:footnote>
  <w:footnote w:type="continuationSeparator" w:id="1">
    <w:p w:rsidR="00E4487E" w:rsidRDefault="00E4487E" w:rsidP="006F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538"/>
    <w:multiLevelType w:val="hybridMultilevel"/>
    <w:tmpl w:val="3642D3C0"/>
    <w:lvl w:ilvl="0" w:tplc="05A28D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DC"/>
    <w:rsid w:val="00065CB6"/>
    <w:rsid w:val="00093553"/>
    <w:rsid w:val="000A312B"/>
    <w:rsid w:val="000E763F"/>
    <w:rsid w:val="000F46B5"/>
    <w:rsid w:val="0010150C"/>
    <w:rsid w:val="001026B7"/>
    <w:rsid w:val="001201D6"/>
    <w:rsid w:val="00163F02"/>
    <w:rsid w:val="0022151B"/>
    <w:rsid w:val="00287BB0"/>
    <w:rsid w:val="0032555B"/>
    <w:rsid w:val="003B5A8E"/>
    <w:rsid w:val="003C5D41"/>
    <w:rsid w:val="003E038C"/>
    <w:rsid w:val="00414F23"/>
    <w:rsid w:val="00464032"/>
    <w:rsid w:val="00490CEC"/>
    <w:rsid w:val="00576927"/>
    <w:rsid w:val="00577E80"/>
    <w:rsid w:val="005A251D"/>
    <w:rsid w:val="005F33E2"/>
    <w:rsid w:val="005F72F3"/>
    <w:rsid w:val="0060565F"/>
    <w:rsid w:val="0063419A"/>
    <w:rsid w:val="00693778"/>
    <w:rsid w:val="006C49AD"/>
    <w:rsid w:val="006F19C1"/>
    <w:rsid w:val="00703D54"/>
    <w:rsid w:val="007436CA"/>
    <w:rsid w:val="007F285A"/>
    <w:rsid w:val="0094239B"/>
    <w:rsid w:val="009B4633"/>
    <w:rsid w:val="00A0078A"/>
    <w:rsid w:val="00A16DDA"/>
    <w:rsid w:val="00A96CDF"/>
    <w:rsid w:val="00AE3183"/>
    <w:rsid w:val="00C0168B"/>
    <w:rsid w:val="00C10BAC"/>
    <w:rsid w:val="00C5484A"/>
    <w:rsid w:val="00C74197"/>
    <w:rsid w:val="00CC5FDC"/>
    <w:rsid w:val="00D92034"/>
    <w:rsid w:val="00DA19C9"/>
    <w:rsid w:val="00DD3B76"/>
    <w:rsid w:val="00E326D0"/>
    <w:rsid w:val="00E4487E"/>
    <w:rsid w:val="00E77AAA"/>
    <w:rsid w:val="00EA03FB"/>
    <w:rsid w:val="00EC42A1"/>
    <w:rsid w:val="00ED2924"/>
    <w:rsid w:val="00F36A24"/>
    <w:rsid w:val="00F42F35"/>
    <w:rsid w:val="00F9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C5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Hyperlink"/>
    <w:basedOn w:val="a0"/>
    <w:rsid w:val="00CC5FDC"/>
    <w:rPr>
      <w:strike w:val="0"/>
      <w:dstrike w:val="0"/>
      <w:color w:val="333333"/>
      <w:u w:val="none"/>
      <w:effect w:val="none"/>
    </w:rPr>
  </w:style>
  <w:style w:type="paragraph" w:customStyle="1" w:styleId="Char2">
    <w:name w:val="Char2"/>
    <w:basedOn w:val="a"/>
    <w:rsid w:val="00CC5FDC"/>
  </w:style>
  <w:style w:type="paragraph" w:styleId="a4">
    <w:name w:val="header"/>
    <w:basedOn w:val="a"/>
    <w:link w:val="Char"/>
    <w:uiPriority w:val="99"/>
    <w:semiHidden/>
    <w:unhideWhenUsed/>
    <w:rsid w:val="006F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9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9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644;&#36523;&#20221;&#35777;&#25195;&#25551;&#20214;&#20197;&#30005;&#23376;&#37038;&#20214;&#24418;&#24335;&#21457;&#36865;&#33267;ys699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189</Words>
  <Characters>1079</Characters>
  <Application>Microsoft Office Word</Application>
  <DocSecurity>0</DocSecurity>
  <Lines>8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26</cp:revision>
  <cp:lastPrinted>2019-11-21T01:50:00Z</cp:lastPrinted>
  <dcterms:created xsi:type="dcterms:W3CDTF">2019-11-05T13:26:00Z</dcterms:created>
  <dcterms:modified xsi:type="dcterms:W3CDTF">2019-11-21T02:00:00Z</dcterms:modified>
</cp:coreProperties>
</file>