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single" w:color="E7E7EB" w:sz="6" w:space="7"/>
          <w:right w:val="none" w:color="auto" w:sz="0" w:space="0"/>
        </w:pBdr>
        <w:shd w:val="clear" w:fill="FFFFFF"/>
        <w:spacing w:before="0" w:beforeAutospacing="0" w:after="210" w:afterAutospacing="0" w:line="21" w:lineRule="atLeast"/>
        <w:ind w:left="0" w:right="0" w:firstLine="0"/>
        <w:jc w:val="center"/>
        <w:rPr>
          <w:rFonts w:ascii="Helvetica Neue" w:hAnsi="Helvetica Neue" w:eastAsia="Helvetica Neue" w:cs="Helvetica Neue"/>
          <w:i w:val="0"/>
          <w:caps w:val="0"/>
          <w:color w:val="000000"/>
          <w:spacing w:val="0"/>
          <w:sz w:val="36"/>
          <w:szCs w:val="36"/>
        </w:rPr>
      </w:pPr>
      <w:r>
        <w:rPr>
          <w:rFonts w:hint="default" w:ascii="Helvetica Neue" w:hAnsi="Helvetica Neue" w:eastAsia="Helvetica Neue" w:cs="Helvetica Neue"/>
          <w:i w:val="0"/>
          <w:caps w:val="0"/>
          <w:color w:val="000000"/>
          <w:spacing w:val="0"/>
          <w:sz w:val="36"/>
          <w:szCs w:val="36"/>
          <w:bdr w:val="none" w:color="auto" w:sz="0" w:space="0"/>
          <w:shd w:val="clear" w:fill="FFFFFF"/>
        </w:rPr>
        <w:t>新修版《土地储备管理办法》要点</w:t>
      </w:r>
      <w:r>
        <w:rPr>
          <w:rFonts w:hint="eastAsia" w:ascii="Helvetica Neue" w:hAnsi="Helvetica Neue" w:cs="Helvetica Neue"/>
          <w:i w:val="0"/>
          <w:caps w:val="0"/>
          <w:color w:val="000000"/>
          <w:spacing w:val="0"/>
          <w:sz w:val="36"/>
          <w:szCs w:val="36"/>
          <w:bdr w:val="none" w:color="auto" w:sz="0" w:space="0"/>
          <w:shd w:val="clear" w:fill="FFFFFF"/>
          <w:lang w:eastAsia="zh-CN"/>
        </w:rPr>
        <w:t>解读</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bdr w:val="none" w:color="auto" w:sz="0" w:space="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pPr>
      <w:r>
        <w:rPr>
          <w:rFonts w:hint="eastAsia"/>
          <w:bdr w:val="none" w:color="auto" w:sz="0" w:space="0"/>
          <w:lang w:val="en-US" w:eastAsia="zh-CN"/>
        </w:rPr>
        <w:t>2018年1</w:t>
      </w:r>
      <w:r>
        <w:rPr>
          <w:bdr w:val="none" w:color="auto" w:sz="0" w:space="0"/>
        </w:rPr>
        <w:t>月3日，国土资源部、财政部、中国人民银行、中国银行业监督管理委员会四部门印发通知，联合印发修订后的 《土地储备管理办法》。新修版《土地储备管理办法》自发布之日起实施，有效期5年。2007年印发的原《土地储备管理办法》（国土资发〔2007〕277号）同时废止。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新修版《土地储备管理办法》在机构职能、业务、资金、监管等方面进行了修订；内容包括总体要求、储备计划、入库储备标准、前期开发、管护与供应、资金管理、监管责任等7个部分，共26条。新《办法》特别明确了土地储备实行名录制管理，深化和健全土地储备全流程管理，推进土地储备资金管理和融资方式调整，要求构建多部门联合的监管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国土资源部土地利用司相关负责人进行了解读，</w:t>
      </w:r>
      <w:r>
        <w:rPr>
          <w:rFonts w:hint="eastAsia"/>
          <w:bdr w:val="none" w:color="auto" w:sz="0" w:space="0"/>
          <w:lang w:eastAsia="zh-CN"/>
        </w:rPr>
        <w:t>本文</w:t>
      </w:r>
      <w:r>
        <w:rPr>
          <w:bdr w:val="none" w:color="auto" w:sz="0" w:space="0"/>
        </w:rPr>
        <w:t>提炼《土地储备管理办法》要点及其解读内容，跟大家分享交流与学习。</w:t>
      </w: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drawing>
          <wp:inline distT="0" distB="0" distL="114300" distR="114300">
            <wp:extent cx="304800" cy="304800"/>
            <wp:effectExtent l="0" t="0" r="0" b="0"/>
            <wp:docPr id="18" name="图片 1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1" descr="IMG_256"/>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bdr w:val="none" w:color="auto" w:sz="0" w:space="0"/>
        </w:rPr>
        <w:t>职能定位</w:t>
      </w: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drawing>
          <wp:inline distT="0" distB="0" distL="114300" distR="114300">
            <wp:extent cx="304800" cy="304800"/>
            <wp:effectExtent l="0" t="0" r="0" b="0"/>
            <wp:docPr id="17" name="图片 1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2" descr="IMG_257"/>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i/>
          <w:u w:val="single"/>
          <w:bdr w:val="none" w:color="auto" w:sz="0" w:space="0"/>
        </w:rPr>
        <w:t>1</w:t>
      </w:r>
      <w:r>
        <w:rPr>
          <w:rStyle w:val="5"/>
          <w:rFonts w:hint="eastAsia"/>
          <w:i/>
          <w:u w:val="single"/>
          <w:bdr w:val="none" w:color="auto" w:sz="0" w:space="0"/>
          <w:lang w:eastAsia="zh-CN"/>
        </w:rPr>
        <w:t>、</w:t>
      </w:r>
      <w:r>
        <w:rPr>
          <w:bdr w:val="none" w:color="auto" w:sz="0" w:space="0"/>
        </w:rPr>
        <w:t>重申土地储备工作统一归口国土资源主管部门管理；土地储备机构为县级（含）以上人民政府批准成立、具有独立的法人资格、隶属于所在行政区划的国土资源主管部门、承担本行政辖区内土地储备工作的事业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b/>
          <w:bCs/>
          <w:i/>
          <w:u w:val="single"/>
          <w:bdr w:val="none" w:color="auto" w:sz="0" w:space="0"/>
        </w:rPr>
        <w:t>2</w:t>
      </w:r>
      <w:r>
        <w:rPr>
          <w:rStyle w:val="6"/>
          <w:rFonts w:hint="eastAsia"/>
          <w:b/>
          <w:bCs/>
          <w:i/>
          <w:u w:val="single"/>
          <w:bdr w:val="none" w:color="auto" w:sz="0" w:space="0"/>
          <w:lang w:eastAsia="zh-CN"/>
        </w:rPr>
        <w:t>、</w:t>
      </w:r>
      <w:r>
        <w:rPr>
          <w:bdr w:val="none" w:color="auto" w:sz="0" w:space="0"/>
        </w:rPr>
        <w:t>国土资源主管部门对土地储备机构实施名录管理，财政部门负责土地储备资金及形成资产的监管。</w:t>
      </w: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drawing>
          <wp:inline distT="0" distB="0" distL="114300" distR="114300">
            <wp:extent cx="304800" cy="304800"/>
            <wp:effectExtent l="0" t="0" r="0" b="0"/>
            <wp:docPr id="11" name="图片 1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3" descr="IMG_258"/>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bdr w:val="none" w:color="auto" w:sz="0" w:space="0"/>
        </w:rPr>
        <w:t>业务全流程管理 </w:t>
      </w: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drawing>
          <wp:inline distT="0" distB="0" distL="114300" distR="114300">
            <wp:extent cx="304800" cy="304800"/>
            <wp:effectExtent l="0" t="0" r="0" b="0"/>
            <wp:docPr id="16" name="图片 1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4" descr="IMG_259"/>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i/>
          <w:u w:val="single"/>
          <w:bdr w:val="none" w:color="auto" w:sz="0" w:space="0"/>
        </w:rPr>
        <w:t>1</w:t>
      </w:r>
      <w:r>
        <w:rPr>
          <w:rStyle w:val="5"/>
          <w:rFonts w:hint="eastAsia"/>
          <w:i/>
          <w:u w:val="single"/>
          <w:bdr w:val="none" w:color="auto" w:sz="0" w:space="0"/>
          <w:lang w:eastAsia="zh-CN"/>
        </w:rPr>
        <w:t>、</w:t>
      </w:r>
      <w:r>
        <w:rPr>
          <w:bdr w:val="none" w:color="auto" w:sz="0" w:space="0"/>
        </w:rPr>
        <w:t>各地根据国民经济和社会发展规划、国土规划、土地利用总体规划、城乡规划等，编制土地储备三年滚动计划。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b/>
          <w:bCs/>
          <w:i/>
          <w:u w:val="single"/>
          <w:bdr w:val="none" w:color="auto" w:sz="0" w:space="0"/>
        </w:rPr>
        <w:t>2</w:t>
      </w:r>
      <w:r>
        <w:rPr>
          <w:rStyle w:val="6"/>
          <w:rFonts w:hint="eastAsia"/>
          <w:b/>
          <w:bCs/>
          <w:i/>
          <w:u w:val="single"/>
          <w:bdr w:val="none" w:color="auto" w:sz="0" w:space="0"/>
          <w:lang w:eastAsia="zh-CN"/>
        </w:rPr>
        <w:t>、</w:t>
      </w:r>
      <w:r>
        <w:rPr>
          <w:bdr w:val="none" w:color="auto" w:sz="0" w:space="0"/>
        </w:rPr>
        <w:t>根据土地市场调控需要、地方政府债务限额等因素，制定年度土地储备计划，同时明确了计划的内容和备案审批及调整程序。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i/>
          <w:u w:val="single"/>
          <w:bdr w:val="none" w:color="auto" w:sz="0" w:space="0"/>
        </w:rPr>
        <w:t>3</w:t>
      </w:r>
      <w:r>
        <w:rPr>
          <w:rStyle w:val="5"/>
          <w:rFonts w:hint="eastAsia"/>
          <w:i/>
          <w:u w:val="single"/>
          <w:bdr w:val="none" w:color="auto" w:sz="0" w:space="0"/>
          <w:lang w:eastAsia="zh-CN"/>
        </w:rPr>
        <w:t>、</w:t>
      </w:r>
      <w:r>
        <w:rPr>
          <w:bdr w:val="none" w:color="auto" w:sz="0" w:space="0"/>
        </w:rPr>
        <w:t>入库储备土地必须是产权清晰的土地，对于存在污染、文物遗存、矿产压覆、洪涝隐患、地灾风险等情况的土地，在按照有关规定由相关单位完成核查、评估和治理之前，不得入库储备。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i/>
          <w:u w:val="single"/>
          <w:bdr w:val="none" w:color="auto" w:sz="0" w:space="0"/>
        </w:rPr>
        <w:t>4</w:t>
      </w:r>
      <w:r>
        <w:rPr>
          <w:rStyle w:val="5"/>
          <w:rFonts w:hint="eastAsia"/>
          <w:i/>
          <w:u w:val="single"/>
          <w:bdr w:val="none" w:color="auto" w:sz="0" w:space="0"/>
          <w:lang w:eastAsia="zh-CN"/>
        </w:rPr>
        <w:t>、</w:t>
      </w:r>
      <w:r>
        <w:rPr>
          <w:bdr w:val="none" w:color="auto" w:sz="0" w:space="0"/>
        </w:rPr>
        <w:t>土地入库前，应向不动产统一登记机构申请办理登记手续。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i/>
          <w:u w:val="single"/>
          <w:bdr w:val="none" w:color="auto" w:sz="0" w:space="0"/>
        </w:rPr>
        <w:t>5</w:t>
      </w:r>
      <w:r>
        <w:rPr>
          <w:rStyle w:val="5"/>
          <w:rFonts w:hint="eastAsia"/>
          <w:i/>
          <w:u w:val="single"/>
          <w:bdr w:val="none" w:color="auto" w:sz="0" w:space="0"/>
          <w:lang w:eastAsia="zh-CN"/>
        </w:rPr>
        <w:t>、</w:t>
      </w:r>
      <w:r>
        <w:rPr>
          <w:bdr w:val="none" w:color="auto" w:sz="0" w:space="0"/>
        </w:rPr>
        <w:t>土地储备机构应评估入库储备土地的资产价值，进行必要的前期开发，保障土地供应。</w:t>
      </w: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drawing>
          <wp:inline distT="0" distB="0" distL="114300" distR="114300">
            <wp:extent cx="304800" cy="304800"/>
            <wp:effectExtent l="0" t="0" r="0" b="0"/>
            <wp:docPr id="13" name="图片 1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5" descr="IMG_260"/>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bdr w:val="none" w:color="auto" w:sz="0" w:space="0"/>
        </w:rPr>
        <w:t>资金“专款专用”</w:t>
      </w: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drawing>
          <wp:inline distT="0" distB="0" distL="114300" distR="114300">
            <wp:extent cx="304800" cy="304800"/>
            <wp:effectExtent l="0" t="0" r="0" b="0"/>
            <wp:docPr id="15" name="图片 1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6" descr="IMG_261"/>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i/>
          <w:u w:val="single"/>
          <w:bdr w:val="none" w:color="auto" w:sz="0" w:space="0"/>
        </w:rPr>
        <w:t>1</w:t>
      </w:r>
      <w:r>
        <w:rPr>
          <w:rStyle w:val="5"/>
          <w:rFonts w:hint="eastAsia"/>
          <w:i/>
          <w:u w:val="single"/>
          <w:bdr w:val="none" w:color="auto" w:sz="0" w:space="0"/>
          <w:lang w:eastAsia="zh-CN"/>
        </w:rPr>
        <w:t>、</w:t>
      </w:r>
      <w:r>
        <w:rPr>
          <w:bdr w:val="none" w:color="auto" w:sz="0" w:space="0"/>
        </w:rPr>
        <w:t>土地储备资金收支管理严格执行财政部、国土资源部关于土地储备资金财务管理的规定，土地储备资金通过政府预算安排，实行专款专用。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b/>
          <w:bCs/>
          <w:i/>
          <w:u w:val="single"/>
          <w:bdr w:val="none" w:color="auto" w:sz="0" w:space="0"/>
        </w:rPr>
        <w:t>2</w:t>
      </w:r>
      <w:r>
        <w:rPr>
          <w:rStyle w:val="6"/>
          <w:rFonts w:hint="eastAsia"/>
          <w:b/>
          <w:bCs/>
          <w:i/>
          <w:u w:val="single"/>
          <w:bdr w:val="none" w:color="auto" w:sz="0" w:space="0"/>
          <w:lang w:eastAsia="zh-CN"/>
        </w:rPr>
        <w:t>、</w:t>
      </w:r>
      <w:r>
        <w:rPr>
          <w:bdr w:val="none" w:color="auto" w:sz="0" w:space="0"/>
        </w:rPr>
        <w:t>土地储备机构所需的日常费用与土地储备资金实行分账核算，不得相互混用。按规定编制土地储备资金收支预算，年终时报送收支决算，由财政部门审核或者由同级财政部门指定具有良好信誉、执业质量高的会计师事务所等相关中介机构进行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i/>
          <w:u w:val="single"/>
          <w:bdr w:val="none" w:color="auto" w:sz="0" w:space="0"/>
        </w:rPr>
        <w:t>3</w:t>
      </w:r>
      <w:r>
        <w:rPr>
          <w:rStyle w:val="5"/>
          <w:rFonts w:hint="eastAsia"/>
          <w:i/>
          <w:u w:val="single"/>
          <w:bdr w:val="none" w:color="auto" w:sz="0" w:space="0"/>
          <w:lang w:eastAsia="zh-CN"/>
        </w:rPr>
        <w:t>、</w:t>
      </w:r>
      <w:r>
        <w:rPr>
          <w:bdr w:val="none" w:color="auto" w:sz="0" w:space="0"/>
        </w:rPr>
        <w:t>土地储备专项债券资金管理执行财政部、国土资源部有关地方政府土地储备专项债券管理的规定。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i/>
          <w:u w:val="single"/>
          <w:bdr w:val="none" w:color="auto" w:sz="0" w:space="0"/>
        </w:rPr>
        <w:t>4</w:t>
      </w:r>
      <w:r>
        <w:rPr>
          <w:rStyle w:val="5"/>
          <w:rFonts w:hint="eastAsia"/>
          <w:i/>
          <w:u w:val="single"/>
          <w:bdr w:val="none" w:color="auto" w:sz="0" w:space="0"/>
          <w:lang w:eastAsia="zh-CN"/>
        </w:rPr>
        <w:t>、</w:t>
      </w:r>
      <w:r>
        <w:rPr>
          <w:bdr w:val="none" w:color="auto" w:sz="0" w:space="0"/>
        </w:rPr>
        <w:t>国土资源部将研究制定年度土地储备计划以及3年滚动计划的编制技术标准，对内容和规范做进一步要求。</w:t>
      </w: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drawing>
          <wp:inline distT="0" distB="0" distL="114300" distR="114300">
            <wp:extent cx="304800" cy="304800"/>
            <wp:effectExtent l="0" t="0" r="0" b="0"/>
            <wp:docPr id="14" name="图片 1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7" descr="IMG_262"/>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bdr w:val="none" w:color="auto" w:sz="0" w:space="0"/>
        </w:rPr>
        <w:t>联合监管</w:t>
      </w: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drawing>
          <wp:inline distT="0" distB="0" distL="114300" distR="114300">
            <wp:extent cx="304800" cy="304800"/>
            <wp:effectExtent l="0" t="0" r="0" b="0"/>
            <wp:docPr id="19" name="图片 1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8" descr="IMG_263"/>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i/>
          <w:u w:val="single"/>
          <w:bdr w:val="none" w:color="auto" w:sz="0" w:space="0"/>
        </w:rPr>
        <w:t>1</w:t>
      </w:r>
      <w:r>
        <w:rPr>
          <w:rStyle w:val="5"/>
          <w:rFonts w:hint="eastAsia"/>
          <w:i/>
          <w:u w:val="single"/>
          <w:bdr w:val="none" w:color="auto" w:sz="0" w:space="0"/>
          <w:lang w:eastAsia="zh-CN"/>
        </w:rPr>
        <w:t>、</w:t>
      </w:r>
      <w:r>
        <w:rPr>
          <w:bdr w:val="none" w:color="auto" w:sz="0" w:space="0"/>
        </w:rPr>
        <w:t>明确国土资源部通过土地储备监测监管系统对各级土地储备机构业务开展情况实时监管。加强对土地储备机构的管理和指导，做好年度计划和资金需求审核等工作。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b/>
          <w:bCs/>
          <w:i/>
          <w:u w:val="single"/>
          <w:bdr w:val="none" w:color="auto" w:sz="0" w:space="0"/>
        </w:rPr>
        <w:t>2</w:t>
      </w:r>
      <w:r>
        <w:rPr>
          <w:rStyle w:val="6"/>
          <w:rFonts w:hint="eastAsia"/>
          <w:b/>
          <w:bCs/>
          <w:i/>
          <w:u w:val="single"/>
          <w:bdr w:val="none" w:color="auto" w:sz="0" w:space="0"/>
          <w:lang w:eastAsia="zh-CN"/>
        </w:rPr>
        <w:t>、</w:t>
      </w:r>
      <w:r>
        <w:rPr>
          <w:bdr w:val="none" w:color="auto" w:sz="0" w:space="0"/>
        </w:rPr>
        <w:t>各级国土资源主管部门、财政部门、中国人民银行分支机构和银行业监督管理部门建立符合本地实际的联合监管机制，按照职责分工，对储备土地、资产、资金、专项债券进行监督和指导。</w:t>
      </w: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drawing>
          <wp:inline distT="0" distB="0" distL="114300" distR="114300">
            <wp:extent cx="304800" cy="304800"/>
            <wp:effectExtent l="0" t="0" r="0" b="0"/>
            <wp:docPr id="12" name="图片 1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9" descr="IMG_264"/>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bdr w:val="none" w:color="auto" w:sz="0" w:space="0"/>
        </w:rPr>
        <w:t>“四个控制”强化债务风险防控</w:t>
      </w: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drawing>
          <wp:inline distT="0" distB="0" distL="114300" distR="114300">
            <wp:extent cx="304800" cy="304800"/>
            <wp:effectExtent l="0" t="0" r="0" b="0"/>
            <wp:docPr id="20" name="图片 2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IMG_265"/>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Style w:val="5"/>
          <w:i/>
          <w:u w:val="single"/>
          <w:bdr w:val="none" w:color="auto" w:sz="0" w:space="0"/>
        </w:rPr>
        <w:t>1</w:t>
      </w:r>
      <w:r>
        <w:rPr>
          <w:rStyle w:val="5"/>
          <w:rFonts w:hint="eastAsia"/>
          <w:i/>
          <w:color w:val="auto"/>
          <w:u w:val="single"/>
          <w:bdr w:val="none" w:color="auto" w:sz="0" w:space="0"/>
          <w:lang w:eastAsia="zh-CN"/>
        </w:rPr>
        <w:t>、</w:t>
      </w:r>
      <w:r>
        <w:rPr>
          <w:rStyle w:val="5"/>
          <w:color w:val="auto"/>
          <w:bdr w:val="none" w:color="auto" w:sz="0" w:space="0"/>
        </w:rPr>
        <w:t>控制债券资金使用主体。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color w:val="auto"/>
          <w:spacing w:val="0"/>
          <w:bdr w:val="none" w:color="auto" w:sz="0" w:space="0"/>
        </w:rPr>
        <w:t>▶  严格执行《地方政府土地储备专项债券管理办法》的有关规定，列入名录的土地储备机构是土地储备专项债券资金的使用主体。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color w:val="auto"/>
          <w:bdr w:val="none" w:color="auto" w:sz="0" w:space="0"/>
        </w:rPr>
        <w:t>▶ 名录外的机构不能使用债券资金，各级政府和财政部门也不得挪用债券资金。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Style w:val="5"/>
          <w:i/>
          <w:color w:val="auto"/>
          <w:u w:val="single"/>
          <w:bdr w:val="none" w:color="auto" w:sz="0" w:space="0"/>
        </w:rPr>
        <w:t>2</w:t>
      </w:r>
      <w:r>
        <w:rPr>
          <w:rStyle w:val="5"/>
          <w:rFonts w:hint="eastAsia"/>
          <w:i/>
          <w:color w:val="auto"/>
          <w:u w:val="single"/>
          <w:bdr w:val="none" w:color="auto" w:sz="0" w:space="0"/>
          <w:lang w:eastAsia="zh-CN"/>
        </w:rPr>
        <w:t>、</w:t>
      </w:r>
      <w:r>
        <w:rPr>
          <w:rStyle w:val="5"/>
          <w:color w:val="auto"/>
          <w:bdr w:val="none" w:color="auto" w:sz="0" w:space="0"/>
        </w:rPr>
        <w:t>控制债券额度规模。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color w:val="auto"/>
          <w:spacing w:val="0"/>
          <w:bdr w:val="none" w:color="auto" w:sz="0" w:space="0"/>
        </w:rPr>
        <w:t>▶  土地储备专项债券额度是在全国人大批准的地方政府专项债券总额内单列的。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color w:val="auto"/>
          <w:bdr w:val="none" w:color="auto" w:sz="0" w:space="0"/>
        </w:rPr>
        <w:t>▶ 债券额度自上而下进行分解，在市县层级分解时，财政和国土资源部门共同确定分解方案，这样既确保土地储备债务不突破地方债总额，又保证了土地储备专项债券不受其他种类债券的影响。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Style w:val="5"/>
          <w:i/>
          <w:color w:val="auto"/>
          <w:u w:val="single"/>
          <w:bdr w:val="none" w:color="auto" w:sz="0" w:space="0"/>
        </w:rPr>
        <w:t>3</w:t>
      </w:r>
      <w:r>
        <w:rPr>
          <w:rStyle w:val="5"/>
          <w:rFonts w:hint="eastAsia"/>
          <w:i/>
          <w:color w:val="auto"/>
          <w:u w:val="single"/>
          <w:bdr w:val="none" w:color="auto" w:sz="0" w:space="0"/>
          <w:lang w:eastAsia="zh-CN"/>
        </w:rPr>
        <w:t>、</w:t>
      </w:r>
      <w:r>
        <w:rPr>
          <w:rStyle w:val="5"/>
          <w:color w:val="auto"/>
          <w:bdr w:val="none" w:color="auto" w:sz="0" w:space="0"/>
        </w:rPr>
        <w:t>控制债券资金用途。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color w:val="auto"/>
          <w:spacing w:val="0"/>
          <w:bdr w:val="none" w:color="auto" w:sz="0" w:space="0"/>
        </w:rPr>
        <w:t>▶  土地储备专项债券资金只能用于发债项目涉及的取得土地费用、前期开发费用以及项目管理费用。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color w:val="auto"/>
          <w:bdr w:val="none" w:color="auto" w:sz="0" w:space="0"/>
        </w:rPr>
        <w:t>▶ 执行中，通过资金预决算审核、实地检查、定期听取汇报等方式进行监管。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color w:val="auto"/>
          <w:bdr w:val="none" w:color="auto" w:sz="0" w:space="0"/>
        </w:rPr>
        <w:t>▶ 各级国土资源部门可通过土地储备信息监管系统，对土地储备机构每一笔资金支出的具体使用方向进行查询、统计、分析，并与同级财政等部门进行信息沟通对接。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Style w:val="5"/>
          <w:i/>
          <w:color w:val="auto"/>
          <w:u w:val="single"/>
          <w:bdr w:val="none" w:color="auto" w:sz="0" w:space="0"/>
        </w:rPr>
        <w:t>4</w:t>
      </w:r>
      <w:r>
        <w:rPr>
          <w:rStyle w:val="5"/>
          <w:rFonts w:hint="eastAsia"/>
          <w:i/>
          <w:color w:val="auto"/>
          <w:u w:val="single"/>
          <w:bdr w:val="none" w:color="auto" w:sz="0" w:space="0"/>
          <w:lang w:eastAsia="zh-CN"/>
        </w:rPr>
        <w:t>、</w:t>
      </w:r>
      <w:r>
        <w:rPr>
          <w:rStyle w:val="5"/>
          <w:color w:val="auto"/>
          <w:bdr w:val="none" w:color="auto" w:sz="0" w:space="0"/>
        </w:rPr>
        <w:t>控制投入收益平衡。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color w:val="auto"/>
          <w:spacing w:val="0"/>
          <w:bdr w:val="none" w:color="auto" w:sz="0" w:space="0"/>
        </w:rPr>
        <w:t>▶  土地储备专项债券资金只能用于发债项目，偿债资金也来自项目产生的收益。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color w:val="auto"/>
          <w:bdr w:val="none" w:color="auto" w:sz="0" w:space="0"/>
        </w:rPr>
        <w:t>▶ 发债前，需详细测算发债项目的投入成本和未来收益，做到投入和收益自求平衡。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color w:val="auto"/>
          <w:bdr w:val="none" w:color="auto" w:sz="0" w:space="0"/>
        </w:rPr>
        <w:t>▶  对于一些地区确实无法自求平衡的项目或地块，一般通过其他财政资金予以保障，暂不举债。</w:t>
      </w: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Gulim">
    <w:panose1 w:val="020B0600000101010101"/>
    <w:charset w:val="81"/>
    <w:family w:val="auto"/>
    <w:pitch w:val="default"/>
    <w:sig w:usb0="B00002AF" w:usb1="69D77CFB" w:usb2="00000030" w:usb3="00000000" w:csb0="4008009F" w:csb1="DFD70000"/>
  </w:font>
  <w:font w:name="Helvetica Neue">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C803E2"/>
    <w:rsid w:val="37EA043A"/>
    <w:rsid w:val="3BFF4EDE"/>
    <w:rsid w:val="4A364711"/>
    <w:rsid w:val="4F0017D3"/>
    <w:rsid w:val="50B84C64"/>
    <w:rsid w:val="64494580"/>
    <w:rsid w:val="7FAC6E9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Emphasis"/>
    <w:basedOn w:val="4"/>
    <w:qFormat/>
    <w:uiPriority w:val="0"/>
    <w:rPr>
      <w: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2018-01-11T08:29:27Z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